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6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30, 2019</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IRIDEX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77-0210467</w:t>
            </w:r>
          </w:p>
        </w:tc>
      </w:tr>
      <w:tr>
        <w:trPr>
          <w:trHeight w:val="149"/>
        </w:trPr>
        <w:tc>
          <w:tcPr>
            <w:tcW w:w="434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38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3"/>
              </w:rPr>
              <w:t>incorporation or organization)</w:t>
            </w:r>
          </w:p>
        </w:tc>
        <w:tc>
          <w:tcPr>
            <w:tcW w:w="338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1212 Terra Bella Avenue</w:t>
            </w:r>
          </w:p>
        </w:tc>
        <w:tc>
          <w:tcPr>
            <w:tcW w:w="3380" w:type="dxa"/>
            <w:vAlign w:val="bottom"/>
          </w:tcPr>
          <w:p>
            <w:pPr>
              <w:spacing w:after="0"/>
              <w:rPr>
                <w:sz w:val="24"/>
                <w:szCs w:val="24"/>
                <w:color w:val="auto"/>
              </w:rPr>
            </w:pPr>
          </w:p>
        </w:tc>
      </w:tr>
      <w:tr>
        <w:trPr>
          <w:trHeight w:val="212"/>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4"/>
              </w:rPr>
              <w:t>Mountain View, California</w:t>
            </w:r>
          </w:p>
        </w:tc>
        <w:tc>
          <w:tcPr>
            <w:tcW w:w="338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94043-1824</w:t>
            </w:r>
          </w:p>
        </w:tc>
      </w:tr>
      <w:tr>
        <w:trPr>
          <w:trHeight w:val="186"/>
        </w:trPr>
        <w:tc>
          <w:tcPr>
            <w:tcW w:w="43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8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(650) 940-4700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6"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240"/>
              <w:spacing w:after="0"/>
              <w:rPr>
                <w:sz w:val="20"/>
                <w:szCs w:val="20"/>
                <w:color w:val="auto"/>
              </w:rPr>
            </w:pPr>
            <w:r>
              <w:rPr>
                <w:rFonts w:ascii="Arial" w:cs="Arial" w:eastAsia="Arial" w:hAnsi="Arial"/>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240"/>
              <w:spacing w:after="0"/>
              <w:rPr>
                <w:sz w:val="20"/>
                <w:szCs w:val="20"/>
                <w:color w:val="auto"/>
              </w:rPr>
            </w:pPr>
            <w:r>
              <w:rPr>
                <w:rFonts w:ascii="Arial" w:cs="Arial" w:eastAsia="Arial" w:hAnsi="Arial"/>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47"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5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97"/>
        </w:trPr>
        <w:tc>
          <w:tcPr>
            <w:tcW w:w="120" w:type="dxa"/>
            <w:vAlign w:val="bottom"/>
          </w:tcPr>
          <w:p>
            <w:pPr>
              <w:spacing w:after="0"/>
              <w:rPr>
                <w:sz w:val="24"/>
                <w:szCs w:val="24"/>
                <w:color w:val="auto"/>
              </w:rPr>
            </w:pPr>
          </w:p>
        </w:tc>
        <w:tc>
          <w:tcPr>
            <w:tcW w:w="456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92"/>
              </w:rPr>
              <w:t>Title of Class</w:t>
            </w:r>
          </w:p>
        </w:tc>
        <w:tc>
          <w:tcPr>
            <w:tcW w:w="25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Trading Symbol</w:t>
            </w:r>
          </w:p>
        </w:tc>
        <w:tc>
          <w:tcPr>
            <w:tcW w:w="414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0"/>
              </w:rPr>
              <w:t>Name of Exchange on Which Registered</w:t>
            </w:r>
          </w:p>
        </w:tc>
      </w:tr>
      <w:tr>
        <w:trPr>
          <w:trHeight w:val="224"/>
        </w:trPr>
        <w:tc>
          <w:tcPr>
            <w:tcW w:w="120" w:type="dxa"/>
            <w:vAlign w:val="bottom"/>
          </w:tcPr>
          <w:p>
            <w:pPr>
              <w:spacing w:after="0"/>
              <w:rPr>
                <w:sz w:val="19"/>
                <w:szCs w:val="19"/>
                <w:color w:val="auto"/>
              </w:rPr>
            </w:pPr>
          </w:p>
        </w:tc>
        <w:tc>
          <w:tcPr>
            <w:tcW w:w="4560" w:type="dxa"/>
            <w:vAlign w:val="bottom"/>
          </w:tcPr>
          <w:p>
            <w:pPr>
              <w:jc w:val="center"/>
              <w:ind w:right="690"/>
              <w:spacing w:after="0"/>
              <w:rPr>
                <w:sz w:val="20"/>
                <w:szCs w:val="20"/>
                <w:color w:val="auto"/>
              </w:rPr>
            </w:pPr>
            <w:r>
              <w:rPr>
                <w:rFonts w:ascii="Arial" w:cs="Arial" w:eastAsia="Arial" w:hAnsi="Arial"/>
                <w:sz w:val="18"/>
                <w:szCs w:val="18"/>
                <w:color w:val="auto"/>
                <w:w w:val="89"/>
              </w:rPr>
              <w:t>Common Stock, par value $0.01 per share</w:t>
            </w:r>
          </w:p>
        </w:tc>
        <w:tc>
          <w:tcPr>
            <w:tcW w:w="2500" w:type="dxa"/>
            <w:vAlign w:val="bottom"/>
          </w:tcPr>
          <w:p>
            <w:pPr>
              <w:jc w:val="center"/>
              <w:ind w:right="230"/>
              <w:spacing w:after="0"/>
              <w:rPr>
                <w:sz w:val="20"/>
                <w:szCs w:val="20"/>
                <w:color w:val="auto"/>
              </w:rPr>
            </w:pPr>
            <w:r>
              <w:rPr>
                <w:rFonts w:ascii="Arial" w:cs="Arial" w:eastAsia="Arial" w:hAnsi="Arial"/>
                <w:sz w:val="18"/>
                <w:szCs w:val="18"/>
                <w:color w:val="auto"/>
              </w:rPr>
              <w:t>IRIX</w:t>
            </w:r>
          </w:p>
        </w:tc>
        <w:tc>
          <w:tcPr>
            <w:tcW w:w="4140" w:type="dxa"/>
            <w:vAlign w:val="bottom"/>
          </w:tcPr>
          <w:p>
            <w:pPr>
              <w:jc w:val="center"/>
              <w:ind w:left="370"/>
              <w:spacing w:after="0"/>
              <w:rPr>
                <w:sz w:val="20"/>
                <w:szCs w:val="20"/>
                <w:color w:val="auto"/>
              </w:rPr>
            </w:pPr>
            <w:r>
              <w:rPr>
                <w:rFonts w:ascii="Arial" w:cs="Arial" w:eastAsia="Arial" w:hAnsi="Arial"/>
                <w:sz w:val="18"/>
                <w:szCs w:val="18"/>
                <w:color w:val="auto"/>
                <w:w w:val="91"/>
              </w:rPr>
              <w:t>Nasdaq Global Market</w:t>
            </w:r>
          </w:p>
        </w:tc>
      </w:tr>
    </w:tbl>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issued and outstanding as of April 25, 2019 was 13,634,312.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Items</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291"/>
        </w:trPr>
        <w:tc>
          <w:tcPr>
            <w:tcW w:w="290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60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Balance Sheets as of March 30, 2019 and December 29, 2018</w:t>
              </w:r>
            </w:hyperlink>
          </w:p>
        </w:tc>
        <w:tc>
          <w:tcPr>
            <w:tcW w:w="236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Consolidated Statements of Operations for the three months ended March 30, 2019 and March 31, 2018</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Loss for the three months ended March 30, 2019 and March 31,</w:t>
              </w:r>
            </w:hyperlink>
          </w:p>
        </w:tc>
        <w:tc>
          <w:tcPr>
            <w:tcW w:w="9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0000EE"/>
            </w:tcBorders>
          </w:tcPr>
          <w:p>
            <w:pPr>
              <w:jc w:val="right"/>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2018</w:t>
              </w:r>
            </w:hyperlink>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Statements of Stockholder's Equity for the three months ended March 30, 2019 and March 31,</w:t>
              </w:r>
            </w:hyperlink>
          </w:p>
        </w:tc>
        <w:tc>
          <w:tcPr>
            <w:tcW w:w="9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2018</w:t>
              </w:r>
            </w:hyperlink>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Unaudited Condensed Consolidated Statements of Cash Flows for the three months ended March 30, 2019 and March 31, 2018</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4360" w:type="dxa"/>
            <w:vAlign w:val="bottom"/>
            <w:tcBorders>
              <w:top w:val="single" w:sz="8" w:color="0000EE"/>
            </w:tcBorders>
            <w:gridSpan w:val="4"/>
          </w:tcPr>
          <w:p>
            <w:pPr>
              <w:spacing w:after="0"/>
              <w:rPr>
                <w:sz w:val="24"/>
                <w:szCs w:val="24"/>
                <w:color w:val="auto"/>
              </w:rPr>
            </w:pPr>
          </w:p>
        </w:tc>
        <w:tc>
          <w:tcPr>
            <w:tcW w:w="28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298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7660" w:type="dxa"/>
            <w:vAlign w:val="bottom"/>
            <w:gridSpan w:val="1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9"/>
        </w:trPr>
        <w:tc>
          <w:tcPr>
            <w:tcW w:w="10500" w:type="dxa"/>
            <w:vAlign w:val="bottom"/>
            <w:gridSpan w:val="2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180" w:type="dxa"/>
            <w:vAlign w:val="bottom"/>
            <w:tcBorders>
              <w:top w:val="single" w:sz="8" w:color="0000EE"/>
            </w:tcBorders>
          </w:tcPr>
          <w:p>
            <w:pPr>
              <w:spacing w:after="0"/>
              <w:rPr>
                <w:sz w:val="24"/>
                <w:szCs w:val="24"/>
                <w:color w:val="auto"/>
              </w:rPr>
            </w:pPr>
          </w:p>
        </w:tc>
        <w:tc>
          <w:tcPr>
            <w:tcW w:w="7920" w:type="dxa"/>
            <w:vAlign w:val="bottom"/>
            <w:gridSpan w:val="1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44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Unregistered Sales of Equity Securities and Use of Proceeds</w:t>
              </w:r>
            </w:hyperlink>
          </w:p>
        </w:tc>
        <w:tc>
          <w:tcPr>
            <w:tcW w:w="508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4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12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Other Information</w:t>
              </w:r>
            </w:hyperlink>
          </w:p>
        </w:tc>
        <w:tc>
          <w:tcPr>
            <w:tcW w:w="8120" w:type="dxa"/>
            <w:vAlign w:val="bottom"/>
            <w:gridSpan w:val="1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40" w:type="dxa"/>
            <w:vAlign w:val="bottom"/>
            <w:gridSpan w:val="2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700" w:type="dxa"/>
            <w:vAlign w:val="bottom"/>
            <w:tcBorders>
              <w:bottom w:val="single" w:sz="8" w:color="0000EE"/>
            </w:tcBorders>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Signature</w:t>
              </w:r>
            </w:hyperlink>
          </w:p>
        </w:tc>
        <w:tc>
          <w:tcPr>
            <w:tcW w:w="3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30, 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29, 2018 (1)</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tcBorders>
            <w:shd w:val="clear" w:color="auto" w:fill="CFF0FC"/>
          </w:tcPr>
          <w:p>
            <w:pPr>
              <w:ind w:left="3520"/>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17,175</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40" w:type="dxa"/>
            <w:vAlign w:val="bottom"/>
          </w:tcPr>
          <w:p>
            <w:pPr>
              <w:ind w:left="260"/>
              <w:spacing w:after="0"/>
              <w:rPr>
                <w:sz w:val="20"/>
                <w:szCs w:val="20"/>
                <w:color w:val="auto"/>
              </w:rPr>
            </w:pPr>
            <w:r>
              <w:rPr>
                <w:rFonts w:ascii="Arial" w:cs="Arial" w:eastAsia="Arial" w:hAnsi="Arial"/>
                <w:sz w:val="18"/>
                <w:szCs w:val="18"/>
                <w:color w:val="auto"/>
              </w:rPr>
              <w:t>Accounts receivable, net of allowance for doubtful accounts of</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$219 as of March 30, 2019 and $213 as of December 29, 2018</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0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40,667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LIABILITIES AND STOCKHOLDERS’ EQUITY</w:t>
            </w: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2,400</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Accrued warranty</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0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Stockholders’ equity:</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2,000,000 shares authorized, no shares</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Authorized: 30,000,000 shares;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40" w:type="dxa"/>
            <w:vAlign w:val="bottom"/>
          </w:tcPr>
          <w:p>
            <w:pPr>
              <w:ind w:left="260"/>
              <w:spacing w:after="0"/>
              <w:rPr>
                <w:sz w:val="20"/>
                <w:szCs w:val="20"/>
                <w:color w:val="auto"/>
              </w:rPr>
            </w:pPr>
            <w:r>
              <w:rPr>
                <w:rFonts w:ascii="Arial" w:cs="Arial" w:eastAsia="Arial" w:hAnsi="Arial"/>
                <w:sz w:val="18"/>
                <w:szCs w:val="18"/>
                <w:color w:val="auto"/>
              </w:rPr>
              <w:t>Issued and outstanding 13,633,639 and 13,602,052 shares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as of March 30, 2019 and December 29, 2018, respectively</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(44,850)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(41,802)</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0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0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40,667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6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Annual Report on Form 10-K filed with the SEC for the year ended December 29, 2018.</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8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78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March 30, 2019</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(0.22)</w:t>
            </w: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in computing net loss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common share:</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13,630</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11,628</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6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30, 2019</w:t>
            </w: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(3,048)</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For the three months ended March 30, 2019</w:t>
            </w:r>
          </w:p>
        </w:tc>
        <w:tc>
          <w:tcPr>
            <w:tcW w:w="2360" w:type="dxa"/>
            <w:vAlign w:val="bottom"/>
            <w:gridSpan w:val="4"/>
            <w:vMerge w:val="restart"/>
          </w:tcPr>
          <w:p>
            <w:pPr>
              <w:jc w:val="right"/>
              <w:ind w:right="64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00" w:type="dxa"/>
            <w:vAlign w:val="bottom"/>
            <w:vMerge w:val="continue"/>
          </w:tcPr>
          <w:p>
            <w:pPr>
              <w:spacing w:after="0"/>
              <w:rPr>
                <w:sz w:val="14"/>
                <w:szCs w:val="14"/>
                <w:color w:val="auto"/>
              </w:rPr>
            </w:pPr>
          </w:p>
        </w:tc>
        <w:tc>
          <w:tcPr>
            <w:tcW w:w="236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Paid-in</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83"/>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98"/>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Balances, December 29, 2018</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13,602,052</w:t>
            </w:r>
          </w:p>
        </w:tc>
        <w:tc>
          <w:tcPr>
            <w:tcW w:w="4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71,548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(41,802)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Issuance of common stock under stock option plan</w:t>
            </w:r>
          </w:p>
        </w:tc>
        <w:tc>
          <w:tcPr>
            <w:tcW w:w="1060" w:type="dxa"/>
            <w:vAlign w:val="bottom"/>
          </w:tcPr>
          <w:p>
            <w:pPr>
              <w:jc w:val="right"/>
              <w:spacing w:after="0"/>
              <w:rPr>
                <w:sz w:val="20"/>
                <w:szCs w:val="20"/>
                <w:color w:val="auto"/>
              </w:rPr>
            </w:pPr>
            <w:r>
              <w:rPr>
                <w:rFonts w:ascii="Arial" w:cs="Arial" w:eastAsia="Arial" w:hAnsi="Arial"/>
                <w:sz w:val="16"/>
                <w:szCs w:val="16"/>
                <w:color w:val="auto"/>
              </w:rPr>
              <w:t>208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Employee stock-based compensation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tcPr>
          <w:p>
            <w:pPr>
              <w:jc w:val="right"/>
              <w:spacing w:after="0"/>
              <w:rPr>
                <w:sz w:val="20"/>
                <w:szCs w:val="20"/>
                <w:color w:val="auto"/>
              </w:rPr>
            </w:pPr>
            <w:r>
              <w:rPr>
                <w:rFonts w:ascii="Arial" w:cs="Arial" w:eastAsia="Arial" w:hAnsi="Arial"/>
                <w:sz w:val="16"/>
                <w:szCs w:val="16"/>
                <w:color w:val="auto"/>
              </w:rPr>
              <w:t>31,379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(3,048)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(3,048)</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Balances, March 30, 2019</w:t>
            </w: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13,633,639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72,070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(44,850)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For the three months ended March 31, 2018</w:t>
            </w:r>
          </w:p>
        </w:tc>
        <w:tc>
          <w:tcPr>
            <w:tcW w:w="2360" w:type="dxa"/>
            <w:vAlign w:val="bottom"/>
            <w:gridSpan w:val="4"/>
            <w:vMerge w:val="restart"/>
          </w:tcPr>
          <w:p>
            <w:pPr>
              <w:jc w:val="right"/>
              <w:ind w:right="64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00" w:type="dxa"/>
            <w:vAlign w:val="bottom"/>
            <w:vMerge w:val="continue"/>
          </w:tcPr>
          <w:p>
            <w:pPr>
              <w:spacing w:after="0"/>
              <w:rPr>
                <w:sz w:val="14"/>
                <w:szCs w:val="14"/>
                <w:color w:val="auto"/>
              </w:rPr>
            </w:pPr>
          </w:p>
        </w:tc>
        <w:tc>
          <w:tcPr>
            <w:tcW w:w="236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Paid-in</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83"/>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98"/>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Balances, December 30, 2017</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11,596,274</w:t>
            </w:r>
          </w:p>
        </w:tc>
        <w:tc>
          <w:tcPr>
            <w:tcW w:w="4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59,385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(28,989)</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Issuance of common stock under stock option plan</w:t>
            </w:r>
          </w:p>
        </w:tc>
        <w:tc>
          <w:tcPr>
            <w:tcW w:w="1060" w:type="dxa"/>
            <w:vAlign w:val="bottom"/>
          </w:tcPr>
          <w:p>
            <w:pPr>
              <w:jc w:val="right"/>
              <w:spacing w:after="0"/>
              <w:rPr>
                <w:sz w:val="20"/>
                <w:szCs w:val="20"/>
                <w:color w:val="auto"/>
              </w:rPr>
            </w:pPr>
            <w:r>
              <w:rPr>
                <w:rFonts w:ascii="Arial" w:cs="Arial" w:eastAsia="Arial" w:hAnsi="Arial"/>
                <w:sz w:val="16"/>
                <w:szCs w:val="16"/>
                <w:color w:val="auto"/>
              </w:rPr>
              <w:t>6,250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Employee stock-based compensation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tcPr>
          <w:p>
            <w:pPr>
              <w:jc w:val="right"/>
              <w:spacing w:after="0"/>
              <w:rPr>
                <w:sz w:val="20"/>
                <w:szCs w:val="20"/>
                <w:color w:val="auto"/>
              </w:rPr>
            </w:pPr>
            <w:r>
              <w:rPr>
                <w:rFonts w:ascii="Arial" w:cs="Arial" w:eastAsia="Arial" w:hAnsi="Arial"/>
                <w:sz w:val="16"/>
                <w:szCs w:val="16"/>
                <w:color w:val="auto"/>
              </w:rPr>
              <w:t>34,837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(3,603)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(3,603)</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Balances, March 31, 2018</w:t>
            </w: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11,637,361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59,698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(32,592)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8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30, 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(3,048)</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earn-out liability</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(1,417)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Accrued warranty</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Acquisition of property and equipment</w:t>
            </w: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Payment on earn-out liability</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stock option exercises</w:t>
            </w: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Effect of foreign exchange rate changes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18,522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80"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29, 2018, which was filed with the Securities and Exchange Commission (“SEC”) on March 29, 2019. The results of operations for the three months ended March 30, 2019 and March 31, 2018 are not necessarily indicative of the results for the fiscal year ending December 28, 2019 or any future interim period. The three months ended March 30, 2019 and March 31, 2018,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Company’s significant accounting policies are disclosed in our Annual Report on Form 10-K for the year ended December 29, 2018, which was filed with the SEC on March 29, 2019, as amended by Form 10-K/A on April 29,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380" w:firstLine="518"/>
        <w:spacing w:after="0" w:line="297"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73"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Company has the following revenue transaction types: (1) Product Sale Only, (2) LAP Programs, (3) Extended Warranty, (4) System Repairs (outside of warranty) and (5) Royalty Revenue.</w:t>
      </w:r>
    </w:p>
    <w:p>
      <w:pPr>
        <w:spacing w:after="0" w:line="62" w:lineRule="exact"/>
        <w:rPr>
          <w:sz w:val="20"/>
          <w:szCs w:val="20"/>
          <w:color w:val="auto"/>
        </w:rPr>
      </w:pPr>
    </w:p>
    <w:p>
      <w:pPr>
        <w:ind w:left="1040" w:right="140" w:hanging="519"/>
        <w:spacing w:after="0" w:line="25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subsequent to the shipment to the distributors.</w:t>
      </w:r>
    </w:p>
    <w:p>
      <w:pPr>
        <w:spacing w:after="0" w:line="80" w:lineRule="exact"/>
        <w:rPr>
          <w:rFonts w:ascii="Arial" w:cs="Arial" w:eastAsia="Arial" w:hAnsi="Arial"/>
          <w:sz w:val="18"/>
          <w:szCs w:val="18"/>
          <w:color w:val="auto"/>
        </w:rPr>
      </w:pPr>
    </w:p>
    <w:p>
      <w:pPr>
        <w:ind w:left="1040"/>
        <w:spacing w:after="0" w:line="259" w:lineRule="auto"/>
        <w:rPr>
          <w:rFonts w:ascii="Arial" w:cs="Arial" w:eastAsia="Arial" w:hAnsi="Arial"/>
          <w:sz w:val="18"/>
          <w:szCs w:val="18"/>
          <w:color w:val="auto"/>
        </w:rPr>
      </w:pPr>
      <w:r>
        <w:rPr>
          <w:rFonts w:ascii="Arial" w:cs="Arial" w:eastAsia="Arial" w:hAnsi="Arial"/>
          <w:sz w:val="18"/>
          <w:szCs w:val="18"/>
          <w:color w:val="auto"/>
        </w:rPr>
        <w:t>The Company recognizes revenue from product sale at a point in time. When a system or disposables are sold,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ind w:left="1040" w:right="100" w:hanging="519"/>
        <w:spacing w:after="0" w:line="293"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LAP Programs: The Company sometimes enters into Laser Advantage Program (LAP) contracts with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(G6 Laser) and receive a discount on the program’s minimum purchase requirements. Under ASC 606, this non-cash consideration must be included in the transaction price. However, the Company has determined that there is no value associated with the old machine and the trade in is essentially offered to encourage customers to purchase more consumables under the program.</w:t>
      </w:r>
    </w:p>
    <w:p>
      <w:pPr>
        <w:spacing w:after="0" w:line="56" w:lineRule="exact"/>
        <w:rPr>
          <w:rFonts w:ascii="Arial" w:cs="Arial" w:eastAsia="Arial" w:hAnsi="Arial"/>
          <w:sz w:val="16"/>
          <w:szCs w:val="16"/>
          <w:color w:val="auto"/>
        </w:rPr>
      </w:pPr>
    </w:p>
    <w:p>
      <w:pPr>
        <w:ind w:left="1040" w:right="180"/>
        <w:spacing w:after="0" w:line="264" w:lineRule="auto"/>
        <w:rPr>
          <w:rFonts w:ascii="Arial" w:cs="Arial" w:eastAsia="Arial" w:hAnsi="Arial"/>
          <w:sz w:val="16"/>
          <w:szCs w:val="16"/>
          <w:color w:val="auto"/>
        </w:rPr>
      </w:pPr>
      <w:r>
        <w:rPr>
          <w:rFonts w:ascii="Arial" w:cs="Arial" w:eastAsia="Arial" w:hAnsi="Arial"/>
          <w:sz w:val="18"/>
          <w:szCs w:val="18"/>
          <w:color w:val="auto"/>
        </w:rPr>
        <w:t>The Company recognizes revenue from product sales under LAP programs at a point in time.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3" w:lineRule="exact"/>
        <w:rPr>
          <w:rFonts w:ascii="Arial" w:cs="Arial" w:eastAsia="Arial" w:hAnsi="Arial"/>
          <w:sz w:val="16"/>
          <w:szCs w:val="16"/>
          <w:color w:val="auto"/>
        </w:rPr>
      </w:pPr>
    </w:p>
    <w:p>
      <w:pPr>
        <w:ind w:left="1040" w:right="80" w:hanging="519"/>
        <w:spacing w:after="0" w:line="259"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Extended Warranty: The Company offers a standard 2 year warranty on all system sales (5 years on the laser heads for its IQ 532/577 laser consoles). The Company also offers an extended warranty which is sold to customers in incremental, one-year warranty periods which begin subsequent to the expiration of the standard 2 year warranty. The customer can opt to purchase the extended warranty at the time of the system sale or after the initial system sale.</w:t>
      </w:r>
    </w:p>
    <w:p>
      <w:pPr>
        <w:spacing w:after="0" w:line="79" w:lineRule="exact"/>
        <w:rPr>
          <w:sz w:val="20"/>
          <w:szCs w:val="20"/>
          <w:color w:val="auto"/>
        </w:rPr>
      </w:pPr>
    </w:p>
    <w:p>
      <w:pPr>
        <w:ind w:left="1040" w:right="220"/>
        <w:spacing w:after="0" w:line="277" w:lineRule="auto"/>
        <w:rPr>
          <w:sz w:val="20"/>
          <w:szCs w:val="20"/>
          <w:color w:val="auto"/>
        </w:rPr>
      </w:pPr>
      <w:r>
        <w:rPr>
          <w:rFonts w:ascii="Arial" w:cs="Arial" w:eastAsia="Arial" w:hAnsi="Arial"/>
          <w:sz w:val="18"/>
          <w:szCs w:val="18"/>
          <w:color w:val="auto"/>
        </w:rPr>
        <w:t>The Company recognizes revenue from extended warranty ratably over the warranty period. Revenue recognition for the sale of an extended warranty is largely dependent on the timing of the sale as follows:</w:t>
      </w:r>
    </w:p>
    <w:p>
      <w:pPr>
        <w:spacing w:after="0" w:line="62" w:lineRule="exact"/>
        <w:rPr>
          <w:sz w:val="20"/>
          <w:szCs w:val="20"/>
          <w:color w:val="auto"/>
        </w:rPr>
      </w:pPr>
    </w:p>
    <w:p>
      <w:pPr>
        <w:ind w:left="1040" w:right="20" w:hanging="519"/>
        <w:spacing w:after="0" w:line="312"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Extended Warranty Sale in Conjunction with System Sale: If the customer opts to purchase an extended warranty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38" w:lineRule="exact"/>
        <w:rPr>
          <w:rFonts w:ascii="Arial" w:cs="Arial" w:eastAsia="Arial" w:hAnsi="Arial"/>
          <w:sz w:val="16"/>
          <w:szCs w:val="16"/>
          <w:color w:val="auto"/>
        </w:rPr>
      </w:pPr>
    </w:p>
    <w:p>
      <w:pPr>
        <w:ind w:left="1040" w:hanging="519"/>
        <w:spacing w:after="0" w:line="272"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Extended Warranty Sale Subsequent to System Sale: If the customer opts to purchase an extended warranty after the initial system sale, the Company determines the amount of time that has elapsed since the initial system sale. If the extended warranty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extended warranty is purchased subsequent to sixty days after the initial sale, the sale of the extended warranty is deemed a separate contract and is deferred at the selling price and recognized ratably over the extended warranty period as the performance obligation is satisfied.</w:t>
      </w:r>
    </w:p>
    <w:p>
      <w:pPr>
        <w:spacing w:after="0" w:line="70" w:lineRule="exact"/>
        <w:rPr>
          <w:sz w:val="20"/>
          <w:szCs w:val="20"/>
          <w:color w:val="auto"/>
        </w:rPr>
      </w:pPr>
    </w:p>
    <w:p>
      <w:pPr>
        <w:ind w:left="1040" w:right="4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the Company subsequent to the expiration of the standard warranty and outside of an extended warranty contract.</w:t>
      </w:r>
    </w:p>
    <w:p>
      <w:pPr>
        <w:spacing w:after="0" w:line="62" w:lineRule="exact"/>
        <w:rPr>
          <w:rFonts w:ascii="Arial" w:cs="Arial" w:eastAsia="Arial" w:hAnsi="Arial"/>
          <w:sz w:val="18"/>
          <w:szCs w:val="18"/>
          <w:color w:val="auto"/>
        </w:rPr>
      </w:pPr>
    </w:p>
    <w:p>
      <w:pPr>
        <w:ind w:left="1040" w:right="100"/>
        <w:spacing w:after="0" w:line="259" w:lineRule="auto"/>
        <w:rPr>
          <w:rFonts w:ascii="Arial" w:cs="Arial" w:eastAsia="Arial" w:hAnsi="Arial"/>
          <w:sz w:val="18"/>
          <w:szCs w:val="18"/>
          <w:color w:val="auto"/>
        </w:rPr>
      </w:pPr>
      <w:r>
        <w:rPr>
          <w:rFonts w:ascii="Arial" w:cs="Arial" w:eastAsia="Arial" w:hAnsi="Arial"/>
          <w:sz w:val="18"/>
          <w:szCs w:val="18"/>
          <w:color w:val="auto"/>
        </w:rPr>
        <w:t>The Company recognizes revenue from system repairs (outside of warranty) at a point in time. When the customer request repairs from the Company subsequent to the expiration of the standard warranty and outside of an extended warranty contracts, these repair contracts are considered separate from the initial sale, and as such, revenue is recognized as the repair services are rendered and the performance obligation satisfied.</w:t>
      </w:r>
    </w:p>
    <w:p>
      <w:pPr>
        <w:spacing w:after="0" w:line="78"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Royalty Revenue: The Company has royalty agreements with two customers related to sale of the Company’s intellectual property. Under the terms of these agreements, the customer is to remit a percentage of sales to the Company.</w:t>
      </w:r>
    </w:p>
    <w:p>
      <w:pPr>
        <w:spacing w:after="0" w:line="62" w:lineRule="exact"/>
        <w:rPr>
          <w:rFonts w:ascii="Arial" w:cs="Arial" w:eastAsia="Arial" w:hAnsi="Arial"/>
          <w:sz w:val="18"/>
          <w:szCs w:val="18"/>
          <w:color w:val="auto"/>
        </w:rPr>
      </w:pPr>
    </w:p>
    <w:p>
      <w:pPr>
        <w:ind w:left="1040" w:right="80"/>
        <w:spacing w:after="0" w:line="257" w:lineRule="auto"/>
        <w:rPr>
          <w:rFonts w:ascii="Arial" w:cs="Arial" w:eastAsia="Arial" w:hAnsi="Arial"/>
          <w:sz w:val="18"/>
          <w:szCs w:val="18"/>
          <w:color w:val="auto"/>
        </w:rPr>
      </w:pPr>
      <w:r>
        <w:rPr>
          <w:rFonts w:ascii="Arial" w:cs="Arial" w:eastAsia="Arial" w:hAnsi="Arial"/>
          <w:sz w:val="18"/>
          <w:szCs w:val="18"/>
          <w:color w:val="auto"/>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8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net and Operating lease liabilities in our condensed consolidated balance sheets. As of adoption date of ASC 842 and as of March 30, 2019, the Company was not a party to finance lease arrangements.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9" w:name="page10"/>
    <w:bookmarkEnd w:id="9"/>
    <w:p>
      <w:pPr>
        <w:ind w:firstLine="518"/>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3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months ended March 30, 2019 and March 31, 2018, no single customer accounted for more than 10% of total revenues. As of March 30, 2019, one customer accounted for over 10% of our accounts receivable, representing 12%. As of December 29, 2018, no customer accounted for more than 10% of our accounts receivable.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condensed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Deferred revenue represents contract liabilities. Revenue related to extended service contracts is deferred and recognized on a straight-line basis over the period of the applicable service contract. Costs associated with these service arrangements are recognized as incurred.</w:t>
      </w:r>
    </w:p>
    <w:p>
      <w:pPr>
        <w:spacing w:after="0" w:line="38"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A reconciliation of the changes in the Company’s deferred revenue balance for the three months ended March 30, 2019 and March 31, 2018 is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80" w:type="dxa"/>
            <w:vAlign w:val="bottom"/>
            <w:tcBorders>
              <w:bottom w:val="single" w:sz="8" w:color="auto"/>
            </w:tcBorders>
            <w:gridSpan w:val="5"/>
          </w:tcPr>
          <w:p>
            <w:pPr>
              <w:jc w:val="right"/>
              <w:ind w:right="84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30, 2019</w:t>
            </w: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2018</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6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2,225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6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2,520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Additions to deferral</w:t>
            </w:r>
          </w:p>
        </w:tc>
        <w:tc>
          <w:tcPr>
            <w:tcW w:w="10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10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(516)</w:t>
            </w:r>
          </w:p>
        </w:tc>
        <w:tc>
          <w:tcPr>
            <w:tcW w:w="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(498)</w:t>
            </w: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106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2,268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2,245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Non-current portion of deferred revenue</w:t>
            </w:r>
          </w:p>
        </w:tc>
        <w:tc>
          <w:tcPr>
            <w:tcW w:w="106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FF0FC"/>
          </w:tcPr>
          <w:p>
            <w:pPr>
              <w:spacing w:after="0"/>
              <w:rPr>
                <w:sz w:val="19"/>
                <w:szCs w:val="19"/>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Current portion of deferred revenue</w:t>
            </w:r>
          </w:p>
        </w:tc>
        <w:tc>
          <w:tcPr>
            <w:tcW w:w="1060" w:type="dxa"/>
            <w:vAlign w:val="bottom"/>
          </w:tcPr>
          <w:p>
            <w:pPr>
              <w:spacing w:after="0"/>
              <w:rPr>
                <w:sz w:val="19"/>
                <w:szCs w:val="19"/>
                <w:color w:val="auto"/>
              </w:rPr>
            </w:pPr>
          </w:p>
        </w:tc>
        <w:tc>
          <w:tcPr>
            <w:tcW w:w="1420" w:type="dxa"/>
            <w:vAlign w:val="bottom"/>
            <w:tcBorders>
              <w:bottom w:val="single" w:sz="8" w:color="auto"/>
            </w:tcBorders>
          </w:tcPr>
          <w:p>
            <w:pPr>
              <w:jc w:val="right"/>
              <w:ind w:right="12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1,742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6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1,582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During the three months ended March 30, 2019 and March 31, 2018, approximately $0.4 million and $0.5 million were recognized pertaining to amounts deferred as of December 29, 2018 and December 30, 2017,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The Company currently provides a two year full warranty on its products. In addition, the Company offers a five year warranty on the laser heads for its IQ 532/577 laser consoles. The associated costs of these warranties are accrued for upon shipment of the products. In March 2018, we have reversed the warranty expense associated with products shipped outside of the United States that were accrued in December 2017 as these reserves are no longer deemed required. The Company’s warranty policy is applicable to products which are considered defective in their performance or fail to meet the product specifications. Warranty costs are reflected in the statement of operations as cost of revenues.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0" w:name="page11"/>
    <w:bookmarkEnd w:id="10"/>
    <w:p>
      <w:pPr>
        <w:ind w:left="520"/>
        <w:spacing w:after="0"/>
        <w:rPr>
          <w:sz w:val="20"/>
          <w:szCs w:val="20"/>
          <w:color w:val="auto"/>
        </w:rPr>
      </w:pPr>
      <w:r>
        <w:rPr>
          <w:rFonts w:ascii="Arial" w:cs="Arial" w:eastAsia="Arial" w:hAnsi="Arial"/>
          <w:sz w:val="17"/>
          <w:szCs w:val="17"/>
          <w:color w:val="auto"/>
        </w:rPr>
        <w:t>A reconciliation of the changes in the Company’s warranty liability for the three months ended March 30, 2019 and March 31, 2018 is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580" w:type="dxa"/>
            <w:vAlign w:val="bottom"/>
            <w:tcBorders>
              <w:bottom w:val="single" w:sz="8" w:color="auto"/>
            </w:tcBorders>
            <w:gridSpan w:val="5"/>
          </w:tcPr>
          <w:p>
            <w:pPr>
              <w:jc w:val="right"/>
              <w:ind w:right="8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30, 2019</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2018</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460" w:type="dxa"/>
            <w:vAlign w:val="bottom"/>
            <w:shd w:val="clear" w:color="auto" w:fill="CFF0FC"/>
          </w:tcPr>
          <w:p>
            <w:pPr>
              <w:jc w:val="right"/>
              <w:ind w:right="130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2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1,735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1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14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(245)</w:t>
            </w: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14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(445)</w:t>
            </w: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460" w:type="dxa"/>
            <w:vAlign w:val="bottom"/>
            <w:tcBorders>
              <w:top w:val="single" w:sz="8" w:color="auto"/>
              <w:bottom w:val="single" w:sz="8" w:color="auto"/>
            </w:tcBorders>
            <w:shd w:val="clear" w:color="auto" w:fill="CFF0FC"/>
          </w:tcPr>
          <w:p>
            <w:pPr>
              <w:jc w:val="right"/>
              <w:ind w:right="13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12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1,115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Certain reclassifications have been made to the prior year financial statements included in these condensed consolidated financial statements to conform to the current year presentation. The reclassifications had no impact on previously reported net loss or accumulated deficit.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which, along with amendments issued in 2018, modified lessee accounting guidance under Topic 840. This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fiscal years beginning after December 15, 2018, including interim periods within those fiscal years. Early adoption is permitted. In July 2018, the FASB issued ASU No. 2018-11 which provides an alternative transition method that allows entities to apply the new leases standard at the adoption date and recognize a cumulative-effect adjustment to the opening balance of retained earnings in the period of adoption. The Company has adopted the requirements of ASU 2016-02 on December 30, 2018, the first day of its fiscal year 2019, using the optional transition method. The Company elected not to reassess whether any expired or existing contracts are or contain leases, not to reassess the lease classification for any expired or existing leases, not to reassess initial direct costs for any existing leases and not to separate non-lease components from lease components and instead account for each separate lease component and the non-lease components associated with that lease component as a single lease component for new or modified leases. At adoption date, there was an increase in assets of $4.0 million and liabilities of $4.5 million due to the recognition of the required right-of-use asset and corresponding liability for all lease obligations that are currently classified as operating leases with the difference of $0.5 million related to existing deferred rent that reduced the ROU asset recorded. The standard did not have an impact in our condensed consolidated statements of operations.</w:t>
      </w:r>
    </w:p>
    <w:p>
      <w:pPr>
        <w:spacing w:after="0" w:line="64" w:lineRule="exact"/>
        <w:rPr>
          <w:sz w:val="20"/>
          <w:szCs w:val="20"/>
          <w:color w:val="auto"/>
        </w:rPr>
      </w:pPr>
    </w:p>
    <w:p>
      <w:pPr>
        <w:ind w:right="420" w:firstLine="518"/>
        <w:spacing w:after="0" w:line="302"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which removes, modifies and adds certain disclosure requirements on fair value measurements. The new guidance is effective for fiscal years, and interim periods within those fiscal years, beginning after December 15, 2019. Early adoption is permitted. The adoption of this standard in fiscal year 2019 did not have a material impact on our consolidated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inventories as of March 30, 2019 and December 29, 2018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March 30, 2019</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29, 2018</w:t>
            </w: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420" w:type="dxa"/>
            <w:vAlign w:val="bottom"/>
            <w:tcBorders>
              <w:top w:val="single" w:sz="8" w:color="auto"/>
            </w:tcBorders>
            <w:shd w:val="clear" w:color="auto" w:fill="CFF0FC"/>
          </w:tcPr>
          <w:p>
            <w:pPr>
              <w:jc w:val="right"/>
              <w:ind w:right="12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2,540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Work in process</w:t>
            </w:r>
          </w:p>
        </w:tc>
        <w:tc>
          <w:tcPr>
            <w:tcW w:w="14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4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5,627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5,044</w:t>
            </w:r>
          </w:p>
        </w:tc>
        <w:tc>
          <w:tcPr>
            <w:tcW w:w="80" w:type="dxa"/>
            <w:vAlign w:val="bottom"/>
            <w:shd w:val="clear" w:color="auto" w:fill="CFF0FC"/>
          </w:tcPr>
          <w:p>
            <w:pPr>
              <w:spacing w:after="0"/>
              <w:rPr>
                <w:sz w:val="19"/>
                <w:szCs w:val="19"/>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Total inventories</w:t>
            </w:r>
          </w:p>
        </w:tc>
        <w:tc>
          <w:tcPr>
            <w:tcW w:w="1420" w:type="dxa"/>
            <w:vAlign w:val="bottom"/>
            <w:tcBorders>
              <w:bottom w:val="single" w:sz="8" w:color="auto"/>
            </w:tcBorders>
          </w:tcPr>
          <w:p>
            <w:pPr>
              <w:jc w:val="right"/>
              <w:ind w:right="126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8,701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value of goodwill was $0.5 million as of March 30, 2019 and December 29, 2018.</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11" w:name="page12"/>
    <w:bookmarkEnd w:id="11"/>
    <w:p>
      <w:pPr>
        <w:ind w:right="180"/>
        <w:spacing w:after="0" w:line="272" w:lineRule="auto"/>
        <w:rPr>
          <w:sz w:val="20"/>
          <w:szCs w:val="20"/>
          <w:color w:val="auto"/>
        </w:rPr>
      </w:pPr>
      <w:r>
        <w:rPr>
          <w:rFonts w:ascii="Arial" w:cs="Arial" w:eastAsia="Arial" w:hAnsi="Arial"/>
          <w:sz w:val="17"/>
          <w:szCs w:val="17"/>
          <w:color w:val="auto"/>
        </w:rPr>
        <w:t>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2018 and determined that its goodwill was not impaired. As of March 30, 2019, the Company had not identified any factors that indicated there was an impairment of its goodwill and determined that no additional impairment analysis was then required.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gross and net intangible asset balances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30, 2019</w:t>
            </w: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29, 2018</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2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Gross</w:t>
            </w: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800" w:type="dxa"/>
            <w:vAlign w:val="bottom"/>
          </w:tcPr>
          <w:p>
            <w:pPr>
              <w:jc w:val="center"/>
              <w:ind w:left="108"/>
              <w:spacing w:after="0" w:line="133"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Remaining</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60" w:type="dxa"/>
            <w:vAlign w:val="bottom"/>
            <w:gridSpan w:val="2"/>
            <w:vMerge w:val="continue"/>
          </w:tcPr>
          <w:p>
            <w:pPr>
              <w:spacing w:after="0"/>
              <w:rPr>
                <w:sz w:val="12"/>
                <w:szCs w:val="12"/>
                <w:color w:val="auto"/>
              </w:rPr>
            </w:pPr>
          </w:p>
        </w:tc>
        <w:tc>
          <w:tcPr>
            <w:tcW w:w="8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Amortization</w:t>
            </w:r>
          </w:p>
        </w:tc>
        <w:tc>
          <w:tcPr>
            <w:tcW w:w="80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Amortization Life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96</w:t>
            </w:r>
          </w:p>
        </w:tc>
        <w:tc>
          <w:tcPr>
            <w:tcW w:w="2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6.00 Years</w:t>
            </w:r>
          </w:p>
        </w:tc>
        <w:tc>
          <w:tcPr>
            <w:tcW w:w="1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30, 2019 and March 31, 2018, amortization expense totaled $4 thousand for each period.</w:t>
      </w:r>
    </w:p>
    <w:p>
      <w:pPr>
        <w:spacing w:after="0" w:line="117"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 amortization of customer relationships was charged to sales and marketing expense and the amortization of patents was charged to cost of revenues. Future estimated amortization expense (in thousands):</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Fiscal Year:</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2019 (nine months)</w:t>
            </w:r>
          </w:p>
        </w:tc>
        <w:tc>
          <w:tcPr>
            <w:tcW w:w="920" w:type="dxa"/>
            <w:vAlign w:val="bottom"/>
            <w:gridSpan w:val="2"/>
          </w:tcPr>
          <w:p>
            <w:pPr>
              <w:jc w:val="right"/>
              <w:ind w:right="79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23"/>
        </w:trPr>
        <w:tc>
          <w:tcPr>
            <w:tcW w:w="5960" w:type="dxa"/>
            <w:vAlign w:val="bottom"/>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85"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17" w:lineRule="exact"/>
        <w:rPr>
          <w:rFonts w:ascii="Arial" w:cs="Arial" w:eastAsia="Arial" w:hAnsi="Arial"/>
          <w:sz w:val="18"/>
          <w:szCs w:val="18"/>
          <w:color w:val="auto"/>
        </w:rPr>
      </w:pPr>
    </w:p>
    <w:p>
      <w:pPr>
        <w:ind w:left="1040" w:hanging="519"/>
        <w:spacing w:after="0" w:line="25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80"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7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62"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accounts receivable, accounts payable, and accrued expenses as of March 30, 2019 and December 29, 2018, approximate fair value because of the short maturity of these instruments.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2" w:name="page13"/>
    <w:bookmarkEnd w:id="12"/>
    <w:p>
      <w:pPr>
        <w:ind w:right="80" w:firstLine="518"/>
        <w:spacing w:after="0" w:line="277" w:lineRule="auto"/>
        <w:rPr>
          <w:sz w:val="20"/>
          <w:szCs w:val="20"/>
          <w:color w:val="auto"/>
        </w:rPr>
      </w:pPr>
      <w:r>
        <w:rPr>
          <w:rFonts w:ascii="Arial" w:cs="Arial" w:eastAsia="Arial" w:hAnsi="Arial"/>
          <w:sz w:val="18"/>
          <w:szCs w:val="18"/>
          <w:color w:val="auto"/>
        </w:rPr>
        <w:t>As of March 30, 2019 and December 29, 2018, financial assets and liabilities measured and recognized at fair value on a recurring basis and classified under the appropriate level of the fair value hierarchy as described above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As of March 30, 2019</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December 29, 2018</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ind w:left="40"/>
              <w:spacing w:after="0" w:line="155" w:lineRule="exact"/>
              <w:rPr>
                <w:sz w:val="20"/>
                <w:szCs w:val="20"/>
                <w:color w:val="auto"/>
              </w:rPr>
            </w:pPr>
            <w:r>
              <w:rPr>
                <w:rFonts w:ascii="Arial" w:cs="Arial" w:eastAsia="Arial" w:hAnsi="Arial"/>
                <w:sz w:val="14"/>
                <w:szCs w:val="14"/>
                <w:b w:val="1"/>
                <w:bCs w:val="1"/>
                <w:color w:val="auto"/>
              </w:rPr>
              <w:t>Fair Value Measurements</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ind w:left="80"/>
              <w:spacing w:after="0" w:line="155" w:lineRule="exact"/>
              <w:rPr>
                <w:sz w:val="20"/>
                <w:szCs w:val="20"/>
                <w:color w:val="auto"/>
              </w:rPr>
            </w:pPr>
            <w:r>
              <w:rPr>
                <w:rFonts w:ascii="Arial" w:cs="Arial" w:eastAsia="Arial" w:hAnsi="Arial"/>
                <w:sz w:val="14"/>
                <w:szCs w:val="14"/>
                <w:b w:val="1"/>
                <w:bCs w:val="1"/>
                <w:color w:val="auto"/>
              </w:rPr>
              <w:t>Fair Value Measurements</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36"/>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3"/>
                <w:szCs w:val="13"/>
                <w:color w:val="auto"/>
              </w:rPr>
            </w:pPr>
          </w:p>
        </w:tc>
        <w:tc>
          <w:tcPr>
            <w:tcW w:w="74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16,215</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16,215</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20,708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60"/>
              <w:spacing w:after="0"/>
              <w:rPr>
                <w:sz w:val="20"/>
                <w:szCs w:val="20"/>
                <w:color w:val="auto"/>
              </w:rPr>
            </w:pPr>
            <w:r>
              <w:rPr>
                <w:rFonts w:ascii="Arial" w:cs="Arial" w:eastAsia="Arial" w:hAnsi="Arial"/>
                <w:sz w:val="18"/>
                <w:szCs w:val="18"/>
                <w:color w:val="auto"/>
              </w:rPr>
              <w:t>Earn-out liability</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financial assets or liabilities. The fair value of the earn-out liability arising from the acquisition of RetinaLabs, Inc. is classified within Level 3 of the fair value hierarchy since it is based on significant unobservable inputs. The significant unobservable inputs include projected royalties and discount rates to present value the payments. A significant increase (decrease) in the projected royalty payments in isolation could result in a significantly higher (lower) fair value measurement and a significant increase (decrease) in the discount rate in isolation could result in a significantly lower (higher) fair value measurement. The fair value of the earn-out liability is calculated on a quarterly basis by the Company based on a collaborative effort of the Company’s operations, finance and accounting groups as additional information becomes available. Any change in the fair value adjustment is recorded in the statement of operations of that period.</w:t>
      </w:r>
    </w:p>
    <w:p>
      <w:pPr>
        <w:spacing w:after="0" w:line="84"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following tables present quantitative information about the inputs and valuation methodologies used for our fair value measurements classified in Level 3 of the fair value hierarchy as of March 30, 2019 and December 29,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As of March 30, 2019</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Technique</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Input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2"/>
              </w:rPr>
              <w:t>(range)</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Projected royalties</w:t>
            </w:r>
          </w:p>
        </w:tc>
        <w:tc>
          <w:tcPr>
            <w:tcW w:w="140" w:type="dxa"/>
            <w:vAlign w:val="bottom"/>
            <w:tcBorders>
              <w:top w:val="single" w:sz="8" w:color="CFF0FC"/>
            </w:tcBorders>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(in thousands)</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$957</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4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10.33%</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(10.20% - 27.00%)</w:t>
            </w:r>
          </w:p>
        </w:tc>
        <w:tc>
          <w:tcPr>
            <w:tcW w:w="0" w:type="dxa"/>
            <w:vAlign w:val="bottom"/>
          </w:tcPr>
          <w:p>
            <w:pPr>
              <w:spacing w:after="0"/>
              <w:rPr>
                <w:sz w:val="1"/>
                <w:szCs w:val="1"/>
                <w:color w:val="auto"/>
              </w:rPr>
            </w:pPr>
          </w:p>
        </w:tc>
      </w:tr>
      <w:tr>
        <w:trPr>
          <w:trHeight w:val="369"/>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As of December 29, 2018</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Technique</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Input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2"/>
              </w:rPr>
              <w:t>(range)</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Projected royalties</w:t>
            </w:r>
          </w:p>
        </w:tc>
        <w:tc>
          <w:tcPr>
            <w:tcW w:w="140" w:type="dxa"/>
            <w:vAlign w:val="bottom"/>
            <w:tcBorders>
              <w:top w:val="single" w:sz="8" w:color="CFF0FC"/>
            </w:tcBorders>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(in thousands)</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$1,245</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4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10.33%</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(10.20% - 27.00%)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 reconciliation of the changes in the Company’s earn-out liability (Level 3 liability) for the three months ended March 30, 2019 and March 31, 2018 is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March 30, 2019</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beginning of the period</w:t>
            </w:r>
          </w:p>
        </w:tc>
        <w:tc>
          <w:tcPr>
            <w:tcW w:w="6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Payments against earn-out</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earn-out liability</w:t>
            </w:r>
          </w:p>
        </w:tc>
        <w:tc>
          <w:tcPr>
            <w:tcW w:w="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as of the end of the period</w:t>
            </w:r>
          </w:p>
        </w:tc>
        <w:tc>
          <w:tcPr>
            <w:tcW w:w="6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earn-out liability is included in accrued expenses and other long-term liabilities in the condensed consolidated balance sheets. Any change in the fair value adjustment is recorded to other expense in the condensed consolidated statements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Commitments.</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Our operating lease commitments consist primarily of our facility lease and various office and computer equipment leases. Operating lease expenses for the three months ended March 30, 2019 and March 31, 2018 were approximately $0.3 million. The weighted average discount rate used in calculating the present value of lease payments was 5.4%. As of March 30, 2019, the weighted average remaining lease term for our operating leases was 2.9 years.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represents maturities of operating lease liabilities as of March 30, 2019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75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Lease Payments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2019 (9 months)</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purchase commitments consist primarily of non-cancellable purchase commitments with vendors to manufacture certain components and ophthalmic instrumentation. As of March 30, 2019, our future minimum payments through fiscal year 2020 for our purchase commitments was approximately $12.6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the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70"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88" w:lineRule="exact"/>
        <w:rPr>
          <w:sz w:val="20"/>
          <w:szCs w:val="20"/>
          <w:color w:val="auto"/>
        </w:rPr>
      </w:pPr>
    </w:p>
    <w:p>
      <w:pPr>
        <w:ind w:right="7120" w:firstLine="8"/>
        <w:spacing w:after="0" w:line="378"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Stock-Based Compensation Stock-Based Compensation</w:t>
      </w:r>
    </w:p>
    <w:p>
      <w:pPr>
        <w:ind w:right="60" w:firstLine="518"/>
        <w:spacing w:after="0" w:line="259" w:lineRule="auto"/>
        <w:rPr>
          <w:sz w:val="20"/>
          <w:szCs w:val="20"/>
          <w:color w:val="auto"/>
        </w:rPr>
      </w:pPr>
      <w:r>
        <w:rPr>
          <w:rFonts w:ascii="Arial" w:cs="Arial" w:eastAsia="Arial" w:hAnsi="Arial"/>
          <w:sz w:val="18"/>
          <w:szCs w:val="18"/>
          <w:color w:val="auto"/>
        </w:rPr>
        <w:t>The Company accounts for stock-based compensation granted to employees and directors, including employees stock option awards, restricted stock and restricted stock units in accordance with ASC 718</w:t>
      </w:r>
      <w:r>
        <w:rPr>
          <w:rFonts w:ascii="Arial" w:cs="Arial" w:eastAsia="Arial" w:hAnsi="Arial"/>
          <w:sz w:val="18"/>
          <w:szCs w:val="18"/>
          <w:i w:val="1"/>
          <w:iCs w:val="1"/>
          <w:color w:val="auto"/>
        </w:rPr>
        <w:t>, “Compensation – Stock Compensation”</w:t>
      </w:r>
      <w:r>
        <w:rPr>
          <w:rFonts w:ascii="Arial" w:cs="Arial" w:eastAsia="Arial" w:hAnsi="Arial"/>
          <w:sz w:val="18"/>
          <w:szCs w:val="18"/>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4" w:name="page15"/>
    <w:bookmarkEnd w:id="14"/>
    <w:p>
      <w:pPr>
        <w:ind w:right="180" w:firstLine="518"/>
        <w:spacing w:after="0" w:line="276" w:lineRule="auto"/>
        <w:rPr>
          <w:sz w:val="20"/>
          <w:szCs w:val="20"/>
          <w:color w:val="auto"/>
        </w:rPr>
      </w:pPr>
      <w:r>
        <w:rPr>
          <w:rFonts w:ascii="Arial" w:cs="Arial" w:eastAsia="Arial" w:hAnsi="Arial"/>
          <w:sz w:val="17"/>
          <w:szCs w:val="17"/>
          <w:color w:val="auto"/>
        </w:rPr>
        <w:t>The Company values options using the Black-Scholes option pricing model. Restricted stock and time-based restricted stock units are valued at the grant date fair value of the underlying common shares. Performance-based restricted stock units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 terms of awards granted during the three months ended March 30, 2019 were consistent with those described in the consolidated financial statements included in our Annual Report on Form 10-K for the year ended December 29, 2018.</w:t>
      </w:r>
    </w:p>
    <w:p>
      <w:pPr>
        <w:spacing w:after="0" w:line="6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following table shows stock-based compensation expenses included in the condensed consolidated statements of operations for the three months ended March 30, 2019 and March 31, 2018:</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4500" w:type="dxa"/>
            <w:vAlign w:val="bottom"/>
            <w:tcBorders>
              <w:bottom w:val="single" w:sz="8" w:color="CFF0FC"/>
            </w:tcBorders>
            <w:vMerge w:val="continue"/>
          </w:tcPr>
          <w:p>
            <w:pPr>
              <w:spacing w:after="0"/>
              <w:rPr>
                <w:sz w:val="13"/>
                <w:szCs w:val="13"/>
                <w:color w:val="auto"/>
              </w:rPr>
            </w:pPr>
          </w:p>
        </w:tc>
        <w:tc>
          <w:tcPr>
            <w:tcW w:w="25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March 30, 2019</w:t>
            </w:r>
          </w:p>
        </w:tc>
        <w:tc>
          <w:tcPr>
            <w:tcW w:w="2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March 31, 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5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CFF0FC"/>
          </w:tcPr>
          <w:p>
            <w:pPr>
              <w:spacing w:after="0"/>
              <w:rPr>
                <w:sz w:val="20"/>
                <w:szCs w:val="20"/>
                <w:color w:val="auto"/>
              </w:rPr>
            </w:pPr>
          </w:p>
        </w:tc>
        <w:tc>
          <w:tcPr>
            <w:tcW w:w="2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capitalized to inventory was immaterial for the three months ended March 30, 2019 and March 31, 2018.</w:t>
      </w:r>
    </w:p>
    <w:p>
      <w:pPr>
        <w:spacing w:after="0" w:line="12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Occasionally, the Company will grant stock-based instruments to non-employees. During the three months ended March 30, 2019 and March 31, 2018, the amount of stock-based compensation related to non-employee options was not 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regarding activity under the Incentive Plan during the three months ended March 30, 2019:</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left="364"/>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1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100" w:type="dxa"/>
            <w:vAlign w:val="bottom"/>
          </w:tcPr>
          <w:p>
            <w:pPr>
              <w:jc w:val="center"/>
              <w:ind w:left="344"/>
              <w:spacing w:after="0"/>
              <w:rPr>
                <w:sz w:val="20"/>
                <w:szCs w:val="20"/>
                <w:color w:val="auto"/>
              </w:rPr>
            </w:pPr>
            <w:r>
              <w:rPr>
                <w:rFonts w:ascii="Arial" w:cs="Arial" w:eastAsia="Arial" w:hAnsi="Arial"/>
                <w:sz w:val="14"/>
                <w:szCs w:val="14"/>
                <w:b w:val="1"/>
                <w:bCs w:val="1"/>
                <w:color w:val="auto"/>
                <w:w w:val="91"/>
              </w:rPr>
              <w:t>Per Share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29, 2018</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844,898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2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31,700</w:t>
            </w:r>
          </w:p>
        </w:tc>
        <w:tc>
          <w:tcPr>
            <w:tcW w:w="160" w:type="dxa"/>
            <w:vAlign w:val="bottom"/>
          </w:tcPr>
          <w:p>
            <w:pPr>
              <w:spacing w:after="0"/>
              <w:rPr>
                <w:sz w:val="19"/>
                <w:szCs w:val="19"/>
                <w:color w:val="auto"/>
              </w:rPr>
            </w:pPr>
          </w:p>
        </w:tc>
        <w:tc>
          <w:tcPr>
            <w:tcW w:w="118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4.33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(208)</w:t>
            </w:r>
          </w:p>
        </w:tc>
        <w:tc>
          <w:tcPr>
            <w:tcW w:w="1180" w:type="dxa"/>
            <w:vAlign w:val="bottom"/>
            <w:gridSpan w:val="2"/>
            <w:shd w:val="clear" w:color="auto" w:fill="CFF0FC"/>
          </w:tcPr>
          <w:p>
            <w:pPr>
              <w:jc w:val="right"/>
              <w:ind w:right="924"/>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(54,140)</w:t>
            </w:r>
          </w:p>
        </w:tc>
        <w:tc>
          <w:tcPr>
            <w:tcW w:w="118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10.16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March 30, 2019</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822,250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924"/>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50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weighted average grant date fair value of the options granted under the Incentive Plan as calculated using the Black-Scholes option-pricing model was $1.70 and $2.21 per share for the three months ended March 30, 2019 and March 31, 2018, respectively.</w:t>
      </w:r>
    </w:p>
    <w:p>
      <w:pPr>
        <w:spacing w:after="0" w:line="6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Company uses the Black-Scholes option-pricing model to estimate fair value of stock-based awards (options) with the following weighted average assumptions: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3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580" w:type="dxa"/>
            <w:vAlign w:val="bottom"/>
            <w:tcBorders>
              <w:bottom w:val="single" w:sz="8" w:color="CFF0FC"/>
            </w:tcBorders>
          </w:tcPr>
          <w:p>
            <w:pPr>
              <w:spacing w:after="0"/>
              <w:rPr>
                <w:sz w:val="13"/>
                <w:szCs w:val="13"/>
                <w:color w:val="auto"/>
              </w:rPr>
            </w:pPr>
          </w:p>
        </w:tc>
        <w:tc>
          <w:tcPr>
            <w:tcW w:w="3380" w:type="dxa"/>
            <w:vAlign w:val="bottom"/>
            <w:tcBorders>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March 30, 2019</w:t>
            </w:r>
          </w:p>
        </w:tc>
        <w:tc>
          <w:tcPr>
            <w:tcW w:w="34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March 31, 2018</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Average risk free interest rate</w:t>
            </w:r>
          </w:p>
        </w:tc>
        <w:tc>
          <w:tcPr>
            <w:tcW w:w="33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2.15%</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2.53%</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3380" w:type="dxa"/>
            <w:vAlign w:val="bottom"/>
          </w:tcPr>
          <w:p>
            <w:pPr>
              <w:spacing w:after="0"/>
              <w:rPr>
                <w:sz w:val="19"/>
                <w:szCs w:val="19"/>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4.55 years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4.55 years</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33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Average volatility</w:t>
            </w:r>
          </w:p>
        </w:tc>
        <w:tc>
          <w:tcPr>
            <w:tcW w:w="5120" w:type="dxa"/>
            <w:vAlign w:val="bottom"/>
            <w:gridSpan w:val="3"/>
          </w:tcPr>
          <w:p>
            <w:pPr>
              <w:jc w:val="right"/>
              <w:ind w:right="200"/>
              <w:spacing w:after="0"/>
              <w:rPr>
                <w:sz w:val="20"/>
                <w:szCs w:val="20"/>
                <w:color w:val="auto"/>
              </w:rPr>
            </w:pPr>
            <w:r>
              <w:rPr>
                <w:rFonts w:ascii="Arial" w:cs="Arial" w:eastAsia="Arial" w:hAnsi="Arial"/>
                <w:sz w:val="18"/>
                <w:szCs w:val="18"/>
                <w:color w:val="auto"/>
              </w:rPr>
              <w:t>44%</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0"/>
                <w:szCs w:val="20"/>
                <w:color w:val="auto"/>
              </w:rPr>
            </w:pPr>
          </w:p>
        </w:tc>
      </w:tr>
      <w:tr>
        <w:trPr>
          <w:trHeight w:val="674"/>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380" w:type="dxa"/>
            <w:vAlign w:val="bottom"/>
          </w:tcPr>
          <w:p>
            <w:pPr>
              <w:jc w:val="right"/>
              <w:ind w:right="1650"/>
              <w:spacing w:after="0"/>
              <w:rPr>
                <w:sz w:val="20"/>
                <w:szCs w:val="20"/>
                <w:color w:val="auto"/>
              </w:rPr>
            </w:pPr>
            <w:r>
              <w:rPr>
                <w:rFonts w:ascii="Arial" w:cs="Arial" w:eastAsia="Arial" w:hAnsi="Arial"/>
                <w:sz w:val="18"/>
                <w:szCs w:val="18"/>
                <w:color w:val="auto"/>
              </w:rPr>
              <w:t>15</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5" w:name="page16"/>
    <w:bookmarkEnd w:id="15"/>
    <w:p>
      <w:pPr>
        <w:ind w:firstLine="518"/>
        <w:spacing w:after="0" w:line="291" w:lineRule="auto"/>
        <w:rPr>
          <w:sz w:val="20"/>
          <w:szCs w:val="20"/>
          <w:color w:val="auto"/>
        </w:rPr>
      </w:pPr>
      <w:r>
        <w:rPr>
          <w:rFonts w:ascii="Arial" w:cs="Arial" w:eastAsia="Arial" w:hAnsi="Arial"/>
          <w:sz w:val="16"/>
          <w:szCs w:val="16"/>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stock options outstanding, vested, expected to vest, and exercisable as of March 30, 2019 is summarized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Weighted</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360" w:type="dxa"/>
            <w:vAlign w:val="bottom"/>
          </w:tcPr>
          <w:p>
            <w:pPr>
              <w:jc w:val="right"/>
              <w:ind w:right="417"/>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Exercise Price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822,250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360" w:type="dxa"/>
            <w:vAlign w:val="bottom"/>
          </w:tcPr>
          <w:p>
            <w:pPr>
              <w:jc w:val="right"/>
              <w:spacing w:after="0"/>
              <w:rPr>
                <w:sz w:val="20"/>
                <w:szCs w:val="20"/>
                <w:color w:val="auto"/>
              </w:rPr>
            </w:pPr>
            <w:r>
              <w:rPr>
                <w:rFonts w:ascii="Arial" w:cs="Arial" w:eastAsia="Arial" w:hAnsi="Arial"/>
                <w:sz w:val="18"/>
                <w:szCs w:val="18"/>
                <w:color w:val="auto"/>
              </w:rPr>
              <w:t>765,064</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8.64</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413,743</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aggregate intrinsic value in the table above represents the pre-tax intrinsic value, based on the Company’s closing price as of March 30, 2019, that would have been received by option holders had all option holders exercised their stock options as of that date. This amount changes based on the fair market value of the Company’s common stock. The total intrinsic value of options exercised for the three months ended March 30, 2019 and March 31, 2018 was approximately $0 thousand and $16 thousand, respectively.</w:t>
      </w:r>
    </w:p>
    <w:p>
      <w:pPr>
        <w:spacing w:after="0" w:line="79"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As of March 30, 2019, there was $4.1 million of total unrecognized compensation cost, net of expected forfeitures, related to non-vested stock-based compensation arrangements under the Incentive Plan. The cost is expected to be recognized over a weighted average period of 2.47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Restricted Stock Units and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restricted stock units (“RSUs”) activity for the three months ended March 30, 2019 is summarized below:</w:t>
      </w:r>
    </w:p>
    <w:p>
      <w:pPr>
        <w:sectPr>
          <w:pgSz w:w="11900" w:h="16838" w:orient="portrait"/>
          <w:cols w:equalWidth="0" w:num="1">
            <w:col w:w="11360"/>
          </w:cols>
          <w:pgMar w:left="240" w:top="368" w:right="2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December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-124460</wp:posOffset>
            </wp:positionV>
            <wp:extent cx="434784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granted</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Outstanding as of March 30,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597,121</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240"/>
        <w:spacing w:after="0"/>
        <w:rPr>
          <w:sz w:val="20"/>
          <w:szCs w:val="20"/>
          <w:color w:val="auto"/>
        </w:rPr>
      </w:pPr>
      <w:r>
        <w:rPr>
          <w:rFonts w:ascii="Arial" w:cs="Arial" w:eastAsia="Arial" w:hAnsi="Arial"/>
          <w:sz w:val="18"/>
          <w:szCs w:val="18"/>
          <w:color w:val="auto"/>
        </w:rPr>
        <w:t>(51,599)</w:t>
      </w:r>
    </w:p>
    <w:p>
      <w:pPr>
        <w:spacing w:after="0" w:line="23" w:lineRule="exact"/>
        <w:rPr>
          <w:sz w:val="20"/>
          <w:szCs w:val="20"/>
          <w:color w:val="auto"/>
        </w:rPr>
      </w:pPr>
    </w:p>
    <w:p>
      <w:pPr>
        <w:jc w:val="right"/>
        <w:ind w:right="2240"/>
        <w:spacing w:after="0"/>
        <w:rPr>
          <w:sz w:val="20"/>
          <w:szCs w:val="20"/>
          <w:color w:val="auto"/>
        </w:rPr>
      </w:pPr>
      <w:r>
        <w:rPr>
          <w:rFonts w:ascii="Arial" w:cs="Arial" w:eastAsia="Arial" w:hAnsi="Arial"/>
          <w:sz w:val="18"/>
          <w:szCs w:val="18"/>
          <w:color w:val="auto"/>
        </w:rPr>
        <w:t>(96,000)</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449,522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31750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0" w:lineRule="exact"/>
        <w:rPr>
          <w:sz w:val="20"/>
          <w:szCs w:val="20"/>
          <w:color w:val="auto"/>
        </w:rPr>
      </w:pPr>
    </w:p>
    <w:p>
      <w:pPr>
        <w:sectPr>
          <w:pgSz w:w="11900" w:h="16838" w:orient="portrait"/>
          <w:cols w:equalWidth="0" w:num="2">
            <w:col w:w="7480" w:space="720"/>
            <w:col w:w="3160"/>
          </w:cols>
          <w:pgMar w:left="240" w:top="368" w:right="299" w:bottom="1440" w:gutter="0" w:footer="0" w:header="0"/>
          <w:type w:val="continuous"/>
        </w:sectPr>
      </w:pPr>
    </w:p>
    <w:p>
      <w:pPr>
        <w:ind w:firstLine="518"/>
        <w:spacing w:after="0" w:line="262" w:lineRule="auto"/>
        <w:rPr>
          <w:sz w:val="20"/>
          <w:szCs w:val="20"/>
          <w:color w:val="auto"/>
        </w:rPr>
      </w:pPr>
      <w:r>
        <w:rPr>
          <w:rFonts w:ascii="Arial" w:cs="Arial" w:eastAsia="Arial" w:hAnsi="Arial"/>
          <w:sz w:val="18"/>
          <w:szCs w:val="18"/>
          <w:color w:val="auto"/>
        </w:rPr>
        <w:t xml:space="preserve">The Company calculates its interim tax provision in accordance with the provisions of ASC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$6 thousand and $4 thousand for the three months ended March 30, 2019 and March 31, 2018, respectively.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 xml:space="preserve">The Company accounts for income taxes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fourth quarter of fiscal year 2018, based on the Company’s recent history of losses and its forecasted losses, management believes on the more likely than not basis that a full valuation allowance is required. Accordingly, in the first quarter of fiscal year 2019, the Company continued to provide a full valuation allowance on its federal and states deferred tax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The Company accounts for its uncertain tax positions in accordance with ASC 740. As of December 29, 2018, the Company had $1.2 million of unrecognized tax benefits, none of the unrecognized tax benefits would result in a change in the Company’s effective tax rate if recognized in future years.</w:t>
      </w:r>
    </w:p>
    <w:p>
      <w:pPr>
        <w:spacing w:after="0" w:line="16"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The Company is not aware of any other uncertain tax positions that could result in significant additional payments, accruals, or other material deviation in this estimate during the fiscal year.</w:t>
      </w:r>
    </w:p>
    <w:p>
      <w:pPr>
        <w:spacing w:after="0" w:line="6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Computation of Basic and Diluted Net Loss Per Common Share</w:t>
      </w:r>
    </w:p>
    <w:p>
      <w:pPr>
        <w:spacing w:after="0" w:line="12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restricted stock units and awards and are calculated under the treasury stock method. Common stock equivalent shares from unexercised stock options, and unvested restricted stock units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64"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For the three months ended March 30, 2019 and March 31, 2018, potential shares from stock options, RSUs and Restricted Stock Awards (“RSAs”) totaling 1,111,010 and 1,069,353 shares, respectively, were excluded from the computation of diluted weighted average shares outstanding.</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numerator and denominator of basic and diluted net loss per common share is provided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 thousands except per share data)</w:t>
            </w: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00" w:type="dxa"/>
            <w:vAlign w:val="bottom"/>
            <w:gridSpan w:val="2"/>
            <w:vMerge w:val="continue"/>
          </w:tcPr>
          <w:p>
            <w:pPr>
              <w:spacing w:after="0"/>
              <w:rPr>
                <w:sz w:val="13"/>
                <w:szCs w:val="13"/>
                <w:color w:val="auto"/>
              </w:rPr>
            </w:pPr>
          </w:p>
        </w:tc>
        <w:tc>
          <w:tcPr>
            <w:tcW w:w="25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March 30, 2019</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520" w:type="dxa"/>
            <w:vAlign w:val="bottom"/>
          </w:tcPr>
          <w:p>
            <w:pPr>
              <w:ind w:left="500"/>
              <w:spacing w:after="0"/>
              <w:rPr>
                <w:sz w:val="20"/>
                <w:szCs w:val="20"/>
                <w:color w:val="auto"/>
              </w:rPr>
            </w:pPr>
            <w:r>
              <w:rPr>
                <w:rFonts w:ascii="Arial" w:cs="Arial" w:eastAsia="Arial" w:hAnsi="Arial"/>
                <w:sz w:val="18"/>
                <w:szCs w:val="18"/>
                <w:color w:val="auto"/>
              </w:rPr>
              <w:t>Net loss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(3,048)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(3,603)</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5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Weighted average shares of common stock (basic)</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Weighted average shares of common stock (diluted)</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2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520" w:type="dxa"/>
            <w:vAlign w:val="bottom"/>
          </w:tcPr>
          <w:p>
            <w:pPr>
              <w:ind w:left="500"/>
              <w:spacing w:after="0"/>
              <w:rPr>
                <w:sz w:val="20"/>
                <w:szCs w:val="20"/>
                <w:color w:val="auto"/>
              </w:rPr>
            </w:pPr>
            <w:r>
              <w:rPr>
                <w:rFonts w:ascii="Arial" w:cs="Arial" w:eastAsia="Arial" w:hAnsi="Arial"/>
                <w:sz w:val="18"/>
                <w:szCs w:val="18"/>
                <w:color w:val="auto"/>
              </w:rPr>
              <w:t>Basic net loss per share</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Diluted net loss per share</w:t>
            </w:r>
          </w:p>
        </w:tc>
        <w:tc>
          <w:tcPr>
            <w:tcW w:w="25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540" w:type="dxa"/>
            <w:vAlign w:val="bottom"/>
            <w:vMerge w:val="restart"/>
          </w:tcPr>
          <w:p>
            <w:pPr>
              <w:jc w:val="right"/>
              <w:ind w:right="175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Business Segments</w:t>
      </w:r>
    </w:p>
    <w:p>
      <w:pPr>
        <w:spacing w:after="0" w:line="12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product group is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6"/>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4060" w:type="dxa"/>
            <w:vAlign w:val="bottom"/>
            <w:vMerge w:val="continue"/>
          </w:tcPr>
          <w:p>
            <w:pPr>
              <w:spacing w:after="0"/>
              <w:rPr>
                <w:sz w:val="13"/>
                <w:szCs w:val="13"/>
                <w:color w:val="auto"/>
              </w:rPr>
            </w:pPr>
          </w:p>
        </w:tc>
        <w:tc>
          <w:tcPr>
            <w:tcW w:w="30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March 30, 2019</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G6</w:t>
            </w:r>
          </w:p>
        </w:tc>
        <w:tc>
          <w:tcPr>
            <w:tcW w:w="30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3,106</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Retina</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5,599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Other(1)</w:t>
            </w:r>
          </w:p>
        </w:tc>
        <w:tc>
          <w:tcPr>
            <w:tcW w:w="30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 revenues</w:t>
            </w:r>
          </w:p>
        </w:tc>
        <w:tc>
          <w:tcPr>
            <w:tcW w:w="30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right="1040" w:firstLine="2"/>
        <w:spacing w:after="0" w:line="276" w:lineRule="auto"/>
        <w:tabs>
          <w:tab w:leader="none" w:pos="8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Incudes service contract revenues of $308 and $304 recognized during the three months ended March 30, 2019 and March 31, 2018, respectively. Other also includes revenues from paid service, royalty, freight and legacy G probes.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geographic region, based on the sales destination, is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4160" w:type="dxa"/>
            <w:vAlign w:val="bottom"/>
            <w:tcBorders>
              <w:bottom w:val="single" w:sz="8" w:color="CFF0FC"/>
            </w:tcBorders>
            <w:vMerge w:val="continue"/>
          </w:tcPr>
          <w:p>
            <w:pPr>
              <w:spacing w:after="0"/>
              <w:rPr>
                <w:sz w:val="13"/>
                <w:szCs w:val="13"/>
                <w:color w:val="auto"/>
              </w:rPr>
            </w:pPr>
          </w:p>
        </w:tc>
        <w:tc>
          <w:tcPr>
            <w:tcW w:w="29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March 30, 2019</w:t>
            </w:r>
          </w:p>
        </w:tc>
        <w:tc>
          <w:tcPr>
            <w:tcW w:w="2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March 31, 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Europe</w:t>
            </w: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Rest of Americas</w:t>
            </w:r>
          </w:p>
        </w:tc>
        <w:tc>
          <w:tcPr>
            <w:tcW w:w="2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Asia/Pacific Rim</w:t>
            </w:r>
          </w:p>
        </w:tc>
        <w:tc>
          <w:tcPr>
            <w:tcW w:w="29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9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10,595</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are attributed to countries based on location of end customers.</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Other than the United States, no individual country accounted for more than 10% of the Company’s revenues during the three months ended March 30, 2019 and March 31, 2018. The United States accounted for 49.1% and 51.1% of revenues for the three months ended March 30, 2019 and March 31, 2018, respectively. International sales accounted for 50.9% and 48.9% of revenues for the three months ended March 30, 2019 and March 31, 2018, respectively.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8"/>
        <w:spacing w:after="0" w:line="218" w:lineRule="exact"/>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These statements are based on management’s beliefs and assumptions and on information currently available to management. These statements include statements concerning future demand and order levels for the Company's products, future operating expenses, changes in personnel, product development and intellectual property related matters, the adoption and effect of Company products on its results, the markets in which the Company operates, usage and efficacy of the Company's products, the Company’s future financial results, the impact of the Company’s adoption of new or revised accounting standards, and the Company's strategic plans and objectives. In some cases, forward-looking statements can be identified by terminology, such as “may,” “will,” “should,” “expects,” “plans,” “anticipates,” “believes,” “estimates,” “predicts,” “intends,” “potential,” “continue,” or the negative of such terms or other comparable terminology, although not all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contain these words.</w:t>
      </w:r>
    </w:p>
    <w:p>
      <w:pPr>
        <w:spacing w:after="0" w:line="9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i w:val="1"/>
          <w:iCs w:val="1"/>
          <w:color w:val="auto"/>
        </w:rPr>
        <w:t>These statements involve known and unknown risks, uncertainties and other factors which may cause our actual results, performance or achievements to differ materially from those expressed or implied by such forward-looking statements. The reader is strongly urged to read the information contained under Item 1A of Part II of this Quarterly Report on Form 10-Q for a more detailed description of these significant risks and uncertainties. The reader is cautioned not to place undue reliance on these forward-looking statements, which reflect management’s analysis only as of the date of this Quarterly Report on Form 10-Q. We undertake no obligation to update such forward-looking statements to reflect events or circumstances occurring after the date of this report.</w:t>
      </w:r>
    </w:p>
    <w:p>
      <w:pPr>
        <w:spacing w:after="0" w:line="50"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i w:val="1"/>
          <w:iCs w:val="1"/>
          <w:color w:val="auto"/>
        </w:rPr>
        <w:t>As used in this Quarterly Report on Form 10-Q, the terms “Company,” “IRIDEX,” “we,” “us” and “our” refer to IRIDEX Corporation, and its consolidated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 laser system used for the treatment of glaucoma;</w:t>
      </w:r>
    </w:p>
    <w:p>
      <w:pPr>
        <w:spacing w:after="0" w:line="117" w:lineRule="exact"/>
        <w:rPr>
          <w:rFonts w:ascii="Arial" w:cs="Arial" w:eastAsia="Arial" w:hAnsi="Arial"/>
          <w:sz w:val="18"/>
          <w:szCs w:val="18"/>
          <w:color w:val="auto"/>
        </w:rPr>
      </w:pPr>
    </w:p>
    <w:p>
      <w:pPr>
        <w:ind w:left="1040" w:right="460" w:hanging="519"/>
        <w:spacing w:after="0" w:line="282"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53" w:lineRule="exact"/>
        <w:rPr>
          <w:rFonts w:ascii="Arial" w:cs="Arial" w:eastAsia="Arial" w:hAnsi="Arial"/>
          <w:sz w:val="18"/>
          <w:szCs w:val="18"/>
          <w:color w:val="auto"/>
        </w:rPr>
      </w:pPr>
    </w:p>
    <w:p>
      <w:pPr>
        <w:ind w:left="1040" w:right="280" w:hanging="519"/>
        <w:spacing w:after="0" w:line="266"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w:t>
      </w:r>
      <w:r>
        <w:rPr>
          <w:rFonts w:ascii="Arial" w:cs="Arial" w:eastAsia="Arial" w:hAnsi="Arial"/>
          <w:sz w:val="18"/>
          <w:szCs w:val="18"/>
          <w:b w:val="1"/>
          <w:bCs w:val="1"/>
          <w:color w:val="auto"/>
        </w:rPr>
        <w:t xml:space="preserve"> </w:t>
      </w:r>
      <w:r>
        <w:rPr>
          <w:rFonts w:ascii="Arial" w:cs="Arial" w:eastAsia="Arial" w:hAnsi="Arial"/>
          <w:sz w:val="18"/>
          <w:szCs w:val="18"/>
          <w:color w:val="auto"/>
        </w:rPr>
        <w:t>GLx laser photocoagulation systems. These systems are often used in vitrectomy procedures, which are used to treat proliferative diabetic retinopathy, macular holes, retinal tears and detachments.</w:t>
      </w:r>
    </w:p>
    <w:p>
      <w:pPr>
        <w:spacing w:after="0" w:line="72"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 (“MP3”) probe and G-Probe;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Ophthalmologists typically use our laser systems in hospital operating room (“OR”) and ambulatory surgical centers (“ASCs”), as well as their offices and clinics. In the ORs and ASCs, ophthalmologists use our laser systems with either an indirect laser ophthalmoscope or a consumable, single use MP3 probe, G-Probe or EndoProbe.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products are sold in the United States predominantly through a direct sales force and internationally primarily through independent distributors.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established direct sales capabilities in Germany in 2017.</w:t>
      </w:r>
    </w:p>
    <w:p>
      <w:pPr>
        <w:spacing w:after="0" w:line="10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will be denominated in Euros and will be subject to risks associated with the currency fluctuations.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jc w:val="both"/>
        <w:ind w:right="20" w:firstLine="518"/>
        <w:spacing w:after="0" w:line="312" w:lineRule="auto"/>
        <w:rPr>
          <w:sz w:val="20"/>
          <w:szCs w:val="20"/>
          <w:color w:val="auto"/>
        </w:rPr>
      </w:pPr>
      <w:r>
        <w:rPr>
          <w:rFonts w:ascii="Arial" w:cs="Arial" w:eastAsia="Arial" w:hAnsi="Arial"/>
          <w:sz w:val="16"/>
          <w:szCs w:val="16"/>
          <w:color w:val="auto"/>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3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14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operating data as a percentage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4220" w:type="dxa"/>
            <w:vAlign w:val="bottom"/>
            <w:gridSpan w:val="4"/>
          </w:tcPr>
          <w:p>
            <w:pPr>
              <w:jc w:val="right"/>
              <w:ind w:right="1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6060" w:type="dxa"/>
            <w:vAlign w:val="bottom"/>
            <w:tcBorders>
              <w:bottom w:val="single" w:sz="8" w:color="CFF0FC"/>
            </w:tcBorders>
          </w:tcPr>
          <w:p>
            <w:pPr>
              <w:spacing w:after="0"/>
              <w:rPr>
                <w:sz w:val="13"/>
                <w:szCs w:val="13"/>
                <w:color w:val="auto"/>
              </w:rPr>
            </w:pPr>
          </w:p>
        </w:tc>
        <w:tc>
          <w:tcPr>
            <w:tcW w:w="1760" w:type="dxa"/>
            <w:vAlign w:val="bottom"/>
            <w:tcBorders>
              <w:top w:val="single" w:sz="8" w:color="auto"/>
              <w:bottom w:val="single" w:sz="8" w:color="auto"/>
            </w:tcBorders>
          </w:tcPr>
          <w:p>
            <w:pPr>
              <w:ind w:left="400"/>
              <w:spacing w:after="0" w:line="155" w:lineRule="exact"/>
              <w:rPr>
                <w:sz w:val="20"/>
                <w:szCs w:val="20"/>
                <w:color w:val="auto"/>
              </w:rPr>
            </w:pPr>
            <w:r>
              <w:rPr>
                <w:rFonts w:ascii="Arial" w:cs="Arial" w:eastAsia="Arial" w:hAnsi="Arial"/>
                <w:sz w:val="14"/>
                <w:szCs w:val="14"/>
                <w:b w:val="1"/>
                <w:bCs w:val="1"/>
                <w:color w:val="auto"/>
              </w:rPr>
              <w:t>March 30, 2019</w:t>
            </w:r>
          </w:p>
        </w:tc>
        <w:tc>
          <w:tcPr>
            <w:tcW w:w="460" w:type="dxa"/>
            <w:vAlign w:val="bottom"/>
            <w:tcBorders>
              <w:top w:val="single" w:sz="8" w:color="auto"/>
              <w:bottom w:val="single" w:sz="8" w:color="CFF0FC"/>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March 31, 2018</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100.0%</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Cost of revenues</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59.8%</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6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7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shd w:val="clear" w:color="auto" w:fill="CFF0FC"/>
          </w:tcPr>
          <w:p>
            <w:pPr>
              <w:spacing w:after="0"/>
              <w:rPr>
                <w:sz w:val="19"/>
                <w:szCs w:val="19"/>
                <w:color w:val="auto"/>
              </w:rPr>
            </w:pPr>
          </w:p>
        </w:tc>
        <w:tc>
          <w:tcPr>
            <w:tcW w:w="2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40.2%</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9.0%</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Sales and marketing</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38.6%</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21.2%</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68.8%</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6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7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shd w:val="clear" w:color="auto" w:fill="CFF0FC"/>
          </w:tcPr>
          <w:p>
            <w:pPr>
              <w:spacing w:after="0"/>
              <w:rPr>
                <w:sz w:val="19"/>
                <w:szCs w:val="19"/>
                <w:color w:val="auto"/>
              </w:rPr>
            </w:pPr>
          </w:p>
        </w:tc>
        <w:tc>
          <w:tcPr>
            <w:tcW w:w="2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(28.6%)</w:t>
            </w: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6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17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shd w:val="clear" w:color="auto" w:fill="CFF0FC"/>
          </w:tcPr>
          <w:p>
            <w:pPr>
              <w:spacing w:after="0"/>
              <w:rPr>
                <w:sz w:val="19"/>
                <w:szCs w:val="19"/>
                <w:color w:val="auto"/>
              </w:rPr>
            </w:pPr>
          </w:p>
        </w:tc>
        <w:tc>
          <w:tcPr>
            <w:tcW w:w="2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(28.7%)</w:t>
            </w: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7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shd w:val="clear" w:color="auto" w:fill="CFF0FC"/>
          </w:tcPr>
          <w:p>
            <w:pPr>
              <w:spacing w:after="0"/>
              <w:rPr>
                <w:sz w:val="19"/>
                <w:szCs w:val="19"/>
                <w:color w:val="auto"/>
              </w:rPr>
            </w:pPr>
          </w:p>
        </w:tc>
        <w:tc>
          <w:tcPr>
            <w:tcW w:w="2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(28.8%)</w:t>
            </w: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following comparisons are between the three months ended March 30, 2019 and March 31,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14"/>
                <w:szCs w:val="14"/>
                <w:color w:val="auto"/>
              </w:rPr>
            </w:pP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8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March 30, 2019</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 in %</w:t>
            </w:r>
          </w:p>
        </w:tc>
        <w:tc>
          <w:tcPr>
            <w:tcW w:w="200" w:type="dxa"/>
            <w:vAlign w:val="bottom"/>
            <w:tcBorders>
              <w:bottom w:val="single" w:sz="8" w:color="CFF0FC"/>
            </w:tcBorders>
          </w:tcPr>
          <w:p>
            <w:pPr>
              <w:spacing w:after="0"/>
              <w:rPr>
                <w:sz w:val="14"/>
                <w:szCs w:val="14"/>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G6</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Retina</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5,599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14.0%</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7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10,595</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r>
      <w:tr>
        <w:trPr>
          <w:trHeight w:val="20"/>
        </w:trPr>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20" w:firstLine="518"/>
        <w:spacing w:after="0" w:line="276" w:lineRule="auto"/>
        <w:rPr>
          <w:sz w:val="20"/>
          <w:szCs w:val="20"/>
          <w:color w:val="auto"/>
        </w:rPr>
      </w:pPr>
      <w:r>
        <w:rPr>
          <w:rFonts w:ascii="Arial" w:cs="Arial" w:eastAsia="Arial" w:hAnsi="Arial"/>
          <w:sz w:val="17"/>
          <w:szCs w:val="17"/>
          <w:color w:val="auto"/>
        </w:rPr>
        <w:t>Our total revenues increased by $1.1 million, or 11.4%, from $9.5 million to $10.6 million for the first quarter of fiscal year 2019. The increase is primarily due to an increase in both our G6 and retina products. Revenues from G6 products increased 9% driven by an increase in international sales. Revenues from retina products increased 14% driven by increases in both domestic and international sales, as our retina business normalized after the voluntary LIO recall which had negatively affected the first quarter of fiscal 2018. Other revenues, comprising of service, royalty, freight and legacy G probes, increased 8% due mainly to an increase in our legacy G probes, service and royalty revenues.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Gross profit increased by $0.3 million, or 8.5%, from $3.9 million to $4.3 million for the first quarter of fiscal 2019. Gross margin decreased by 1.0 percentage points from 41.2% to 40.2%. The decrease in gross margin was attributable to a shift in geographic and product mix.</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0" w:name="page21"/>
    <w:bookmarkEnd w:id="20"/>
    <w:p>
      <w:pPr>
        <w:ind w:right="480" w:firstLine="518"/>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right="180" w:firstLine="518"/>
        <w:spacing w:after="0" w:line="277" w:lineRule="auto"/>
        <w:rPr>
          <w:sz w:val="20"/>
          <w:szCs w:val="20"/>
          <w:color w:val="auto"/>
        </w:rPr>
      </w:pPr>
      <w:r>
        <w:rPr>
          <w:rFonts w:ascii="Arial" w:cs="Arial" w:eastAsia="Arial" w:hAnsi="Arial"/>
          <w:sz w:val="18"/>
          <w:szCs w:val="18"/>
          <w:color w:val="auto"/>
        </w:rPr>
        <w:t>Research and development (“R&amp;D”) expenses decreased by $0.1 million, or 13.2%, from $1.1 million to $1.0 million. The decrease in spending was primarily attributable to a decrease in consulting-related costs due to timing.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marketing expenses during the first quarter of fiscal 2019 were flat compared to the similar period last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General and administrative expenses decreased by $0.2 million, or 5.9%, from $2.4 million to $2.2 million. The decrease in spending was primarily attributable to a decrease in bonus expense due to lower achievement levels compared to corporate targets.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Other expense, net amounted to $6 thousand, compared to other income, net of $18 thousand. Other income (expense), net, consisted primarily of the change in expense associated with the re-measurement of contingent liabilities, partially offset by interest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$6 thousand and $4 thousand,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62"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As of March 30, 2019, we had cash and cash equivalents of $17.2 million and working capital of $25.3 million compared to cash and cash equivalents of $21.2 million and working capital of $29.1 million as of December 29, 2018.</w:t>
      </w:r>
    </w:p>
    <w:p>
      <w:pPr>
        <w:spacing w:after="0" w:line="62"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Net cash used in operating activities was $3.8 million in the three months ended March 30, 2019 compared to $2.7 million in the three months ended March 31, 2018. The increase in net cash used in operating activities was primarily due to changes in working capital, driven by a higher bonus payouts and timing of vendor payments, partially offset by higher cash collections.</w:t>
      </w:r>
    </w:p>
    <w:p>
      <w:pPr>
        <w:spacing w:after="0" w:line="73"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For the three months ended March 30, 2019, net cash used in investing activities was $0.2 million, which consisted of $0.1 million on capital expenditures and $0.1 million for payment of the contingent earn-out liability. Net cash used in investing activities for the three months ended March 31, 2018 was $0.4 million, which consisted of $0.3 million on capital expenditures and $0.1 million for payment of the contingent earn-out liability.</w:t>
      </w:r>
    </w:p>
    <w:p>
      <w:pPr>
        <w:spacing w:after="0" w:line="5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For the three months ended March 30, 2019 and March 31, 2018, net cash used in financing activities was $0.1 million, which consisted of payroll taxes related to net share settlement of equity awards.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our existing cash and cash equivalents will be sufficient to meet our anticipated cash needs over the next 12 months.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6"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has adopted the requirements of Accounting Standards Update 2016-02 on December 30, 2018, the first day of its fiscal year 2019, using the optional transition method. At adoption date, there was an increase in assets of $4.0 million and liabilities of $4.5 million due to the recognition of the required right-of-use (“ROU”) asset and corresponding liability for all lease obligations that are currently classified as operating leases with the difference of $0.5 million related to existing deferred rent that reduced the ROU asset recorded. The standard did not have an impact in our condensed consolidated statements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IRIDEX Corporation was incorporated in California in February 1989 as IRIS Medical Instruments, Inc. In November 1995, we changed our name to IRIDEX Corporation and reincorporated in Delaware. Our executive offices are located at 1212 Terra Bella Avenue, Mountain View, California 94043-1824, and our telephone number is (650) 940-4700. We can also be reached at our website at www.IRIDEX.com. 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our company to review the information we post on our Facebook page (www.facebook.com/IRIDEX) and Twitter feed (https://twitter.com/IRIDEX). Any information on, or that can be accessed through, our website and social media channels is not part of this report.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a “smaller reporting company,” as defined in Rule 12b-2 of the Exchange Act, we are not required to provide the information called for by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and Financial Officer and our Principal Accounting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Principal Executive and Financial Officer and our Principal Accounting Officer, of the effectiveness of the design and operation of our disclosure controls and procedures as of March 30, 2019. Based on the foregoing, our Principal Executive and Financial Officer and our Principal Accounting Officer concluded that our disclosure controls and procedures were effective at the reasonable assurance level.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In addition to the other information contained in this Quarterly Report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62"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5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8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58"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5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3" w:name="page24"/>
    <w:bookmarkEnd w:id="23"/>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129"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network of international distributors to sell our products and any failure to maintain our sales force and distributor relationships could harm our business.</w:t>
      </w:r>
    </w:p>
    <w:p>
      <w:pPr>
        <w:spacing w:after="0" w:line="6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20 employees and one independent representative, respectively and our direct sales force in Germany consists of 3 employees. Our international independent distributors are managed by a team of 6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would be adversely affected.</w:t>
      </w:r>
    </w:p>
    <w:p>
      <w:pPr>
        <w:spacing w:after="0" w:line="84"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and distributor agreements are generally terminable at will by either party and independents and distributors may terminate their relationships with us, which would affect our sales and results of operations. As we establish our direct sales capabilities in Germany, we may be unable to recruit and retain qualified personnel in this region. Any loss of the members of our existing direct or indirect sales organizations, or any failure to execute on our plans to further develop our sales function, could have an adverse impact on our business, results of operations and financial condition.</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Growth in our sales and marketing organization may create operational challenges without immediately offsetting benefits.</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5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It can take six months or longer before our internal sales representatives are fully trained and productive in selling our solution to prospective clients. This ramp period presents a number of operational challenges as the cost of recruiting, hiring and carrying new sales representatives cannot be offset by the revenue such new sales representatives produce until after they complete their ramp periods. If we cannot reliably develop our sales representatives to a productive level, or if we lose productive representatives in whom we have heavily invested, our future growth rates and revenue will suffer.</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first quarter of fiscal year 2019, our international sales were $5.4 million, or 50.9% of total revenues. We anticipate that international sales will continue to account for a significant portion of our revenues in the foreseeable future. All of our international revenues and costs for the fiscal quarter ended March 30, 2019 have been denominated in U.S. dollars except for a sale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57"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4" w:name="page25"/>
    <w:bookmarkEnd w:id="24"/>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1040" w:right="440" w:hanging="519"/>
        <w:spacing w:after="0" w:line="308"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040" w:right="50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one or more of these factors stated above could have a material adverse effect on our business, financial condition or results of operations.</w:t>
      </w:r>
    </w:p>
    <w:p>
      <w:pPr>
        <w:spacing w:after="0" w:line="1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79"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6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w:t>
      </w:r>
    </w:p>
    <w:p>
      <w:pPr>
        <w:spacing w:after="0" w:line="80"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70"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related to international conflicts and terrorist acts may put further pressure on economic conditions in the United States and abroad.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5" w:name="page26"/>
    <w:bookmarkEnd w:id="25"/>
    <w:p>
      <w:pPr>
        <w:ind w:right="40" w:firstLine="518"/>
        <w:spacing w:after="0" w:line="255"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economic uncertainty persisted, or if the economy entered a prolonged period of decelerating growth, our results of operations may be harmed.</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62"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uncertainties and political concerns;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and training issues;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117" w:lineRule="exact"/>
        <w:rPr>
          <w:sz w:val="20"/>
          <w:szCs w:val="20"/>
          <w:color w:val="auto"/>
        </w:rPr>
      </w:pPr>
    </w:p>
    <w:p>
      <w:pPr>
        <w:ind w:right="720" w:firstLine="518"/>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6"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6" w:name="page27"/>
    <w:bookmarkEnd w:id="26"/>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040" w:right="10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MP3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39"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Our principal ophthalmic laser competitors are Alcon Inc. (Novartis AG), Bausch and Lomb (Valeant), Carl Zeiss Meditec AG, Ellex Medical Lasers, Ltd., Lumenis Ltd., Nidek Co. Ltd., Quantel Medical SA, and Topcon Corporation. We also compete with alternative glaucoma surgical device companies such as Alcon, Allergan, Glaukos, New World Medical and Ivantis. Pharmaceuticals represent alternative treatments to our laser procedures. Some of our principal pharmaceutical competitors are Alcon, Allergan, OSI Pharmaceuticals (Astellas), Pfizer, Regeneron, Roche (Genentech) and Valeant Pharmaceuticals.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6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62"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7" w:name="page28"/>
    <w:bookmarkEnd w:id="27"/>
    <w:p>
      <w:pPr>
        <w:ind w:right="40" w:firstLine="518"/>
        <w:spacing w:after="0" w:line="297" w:lineRule="auto"/>
        <w:rPr>
          <w:sz w:val="20"/>
          <w:szCs w:val="20"/>
          <w:color w:val="auto"/>
        </w:rPr>
      </w:pPr>
      <w:r>
        <w:rPr>
          <w:rFonts w:ascii="Arial" w:cs="Arial" w:eastAsia="Arial" w:hAnsi="Arial"/>
          <w:sz w:val="16"/>
          <w:szCs w:val="16"/>
          <w:color w:val="auto"/>
        </w:rPr>
        <w:t>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Denial of coverage and reimbursement of our products, or the revocation or changes to coverage and reimbursement policies, could have a material adverse effect on our business, results of operations and financial condition.</w:t>
      </w:r>
    </w:p>
    <w:p>
      <w:pPr>
        <w:spacing w:after="0" w:line="50"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46"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7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Open Payments, commonly known as the Sunshine Act, is a relatively new law, and compliance with this law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8" w:name="page29"/>
    <w:bookmarkEnd w:id="28"/>
    <w:p>
      <w:pPr>
        <w:ind w:right="260" w:firstLine="518"/>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2"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64" w:lineRule="exact"/>
        <w:rPr>
          <w:sz w:val="20"/>
          <w:szCs w:val="20"/>
          <w:color w:val="auto"/>
        </w:rPr>
      </w:pPr>
    </w:p>
    <w:p>
      <w:pPr>
        <w:ind w:right="860" w:firstLine="518"/>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16"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patent portfolio includes 21 active United States patents and 13 active foreign patents on the technologies related to our products and processes. In addition, we have 6 patent applications pending in the United States and 12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74"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5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9" w:name="page30"/>
    <w:bookmarkEnd w:id="29"/>
    <w:p>
      <w:pPr>
        <w:ind w:right="20" w:firstLine="518"/>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lose key personnel or fail to integrate replacement personnel successfully, our ability to manage our business could be impaired.</w:t>
      </w:r>
    </w:p>
    <w:p>
      <w:pPr>
        <w:spacing w:after="0" w:line="140"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58"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6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50"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6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Sales or issuances of a substantial amount of securities, or the perception that such sales could occur, may adversely affect prevailing market prices for our common stock. As of March 30, 2019, we had 13,633,639 shares of common stock outstanding, all of which shares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46"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As of March 30, 2019, holders of an aggregate of 999,802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may become eligible for sale in the public markets in the future, subject to certain legal and control limitations.</w:t>
      </w:r>
    </w:p>
    <w:p>
      <w:pPr>
        <w:spacing w:after="0" w:line="4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79" w:lineRule="exact"/>
        <w:rPr>
          <w:sz w:val="20"/>
          <w:szCs w:val="20"/>
          <w:color w:val="auto"/>
        </w:rPr>
      </w:pPr>
    </w:p>
    <w:p>
      <w:pPr>
        <w:ind w:right="660" w:firstLine="518"/>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46"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unavailability of shortages or limitations on the ability to obtain supplies of components and products in the quantities that we require;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obtain components and products at acceptable prices.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Our facilities could be subject to catastrophic loss such as fire, flood or earthquake. All of our research and development activities, manufacturing, our corporate headquarters and other critical business operations are located near major earthquake faults in Mountain View, California. Any such loss at any of our facilities could disrupt our operations, delay production, shipments and revenue and result in large expense to repair and replace our facilities.</w:t>
      </w:r>
    </w:p>
    <w:p>
      <w:pPr>
        <w:spacing w:after="0" w:line="39"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62"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84"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63"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1" w:name="page32"/>
    <w:bookmarkEnd w:id="31"/>
    <w:p>
      <w:pPr>
        <w:ind w:right="360" w:firstLine="518"/>
        <w:spacing w:after="0" w:line="264"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3"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6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7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80"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Directives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7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Further, in order to maintain medical device sales in Canada, we must obtain the ISO 13485:2016 certificate through the MDSAP. MDSAP allows a single audit of a medical device manufacturer's Quality Management Systems which satisfies the requirements of multiple regulatory jurisdictions - Australia, Brazil, Canada, Japan and the United States. The MDSAP audit program is voluntary in all countries except Canada. MDSAP may impose a higher compliance burden than the CE Mark through more rigorous audit requirements. If we do not comply with the new MDSAP standard, we will not be able to sell our products in Canada after December 31, 2019.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2" w:name="page33"/>
    <w:bookmarkEnd w:id="32"/>
    <w:p>
      <w:pPr>
        <w:ind w:right="620" w:firstLine="518"/>
        <w:spacing w:after="0" w:line="342" w:lineRule="auto"/>
        <w:rPr>
          <w:sz w:val="20"/>
          <w:szCs w:val="20"/>
          <w:color w:val="auto"/>
        </w:rPr>
      </w:pPr>
      <w:r>
        <w:rPr>
          <w:rFonts w:ascii="Arial" w:cs="Arial" w:eastAsia="Arial" w:hAnsi="Arial"/>
          <w:sz w:val="16"/>
          <w:szCs w:val="16"/>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16"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74"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62"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jc w:val="both"/>
        <w:ind w:right="120" w:firstLine="518"/>
        <w:spacing w:after="0" w:line="302"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46"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3" w:name="page34"/>
    <w:bookmarkEnd w:id="33"/>
    <w:p>
      <w:pPr>
        <w:ind w:right="100" w:firstLine="518"/>
        <w:spacing w:after="0" w:line="257"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8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For example, on February 23, 2018, we initiated a worldwide voluntary recall of a specific laser accessory called the TruFocus LIO Premiere™ (“LIO”). The LIO is a head-mounted indirect ophthalmoscope that connects to our laser console and is used to view and perform laser treatment on a patient’s retina. This recall was prompted after we received reports of three adverse events from one physician in the U.S.,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 Number Z-1075-2018. Our termination request is pending.</w:t>
      </w:r>
    </w:p>
    <w:p>
      <w:pPr>
        <w:spacing w:after="0" w:line="85"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We recently obtained FDA clearance for an updated TruFocus LIO Premiere™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once launched,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We may be subject to product liability claims from time to time. Our products are highly complex and some are used to treat extremely delicate eye tissue. We believe we maintain adequate levels of product liability insurance.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Significant developments resulting from recent and potential changes in United States trade policies could have a material adverse effect on us.</w:t>
      </w:r>
    </w:p>
    <w:p>
      <w:pPr>
        <w:spacing w:after="0" w:line="152"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Certain of our materials may be subject to the effects of various trade agreements, treaties and tariffs. The current U.S. presidential administration has publicly stated its intention to renegotiate or withdraw from the North American Free Trade Agreement and has imposed tariffs on various goods from various countries, including China, Canada and the European Union (“EU”), and announced intentions to impose furthermore significant tariffs on certain United States imports. As a result, Canada, the EU, China and other countries have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61" w:lineRule="exact"/>
        <w:rPr>
          <w:sz w:val="20"/>
          <w:szCs w:val="20"/>
          <w:color w:val="auto"/>
        </w:rPr>
      </w:pPr>
    </w:p>
    <w:p>
      <w:pPr>
        <w:ind w:right="240" w:firstLine="518"/>
        <w:spacing w:after="0" w:line="290" w:lineRule="auto"/>
        <w:rPr>
          <w:sz w:val="20"/>
          <w:szCs w:val="20"/>
          <w:color w:val="auto"/>
        </w:rPr>
      </w:pPr>
      <w:r>
        <w:rPr>
          <w:rFonts w:ascii="Arial" w:cs="Arial" w:eastAsia="Arial" w:hAnsi="Arial"/>
          <w:sz w:val="16"/>
          <w:szCs w:val="16"/>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4" w:name="page35"/>
    <w:bookmarkEnd w:id="34"/>
    <w:p>
      <w:pPr>
        <w:ind w:right="20" w:firstLine="518"/>
        <w:spacing w:after="0" w:line="259" w:lineRule="auto"/>
        <w:rPr>
          <w:sz w:val="20"/>
          <w:szCs w:val="20"/>
          <w:color w:val="auto"/>
        </w:rPr>
      </w:pPr>
      <w:r>
        <w:rPr>
          <w:rFonts w:ascii="Arial" w:cs="Arial" w:eastAsia="Arial" w:hAnsi="Arial"/>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in U.S. tax laws could have a material adverse effect on our business, cash flow, results of operations or financial conditions.</w:t>
      </w:r>
    </w:p>
    <w:p>
      <w:pPr>
        <w:spacing w:after="0" w:line="140"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4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the Company’s net operating loss carryovers and valuation allowance, there is no impact to its consolidated financial statements as a result of the accounting for the tax effects of the Tax Act.</w:t>
      </w:r>
    </w:p>
    <w:p>
      <w:pPr>
        <w:spacing w:after="0" w:line="80"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are subject to federal, state and foreign laws governing our business practices which, if violated, could result in substantial penalties.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Additionally, challenges to or investigation into our practices could cause adverse publicity and be costly to respond to and thus could harm our business.</w:t>
      </w:r>
    </w:p>
    <w:p>
      <w:pPr>
        <w:spacing w:after="0" w:line="13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61"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80"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5" w:name="page36"/>
    <w:bookmarkEnd w:id="35"/>
    <w:p>
      <w:pPr>
        <w:ind w:right="160" w:firstLine="518"/>
        <w:spacing w:after="0" w:line="255"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85"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38"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59"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2"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2011/65/EU relating to Restrictions on the Use of Certain Hazardous Substances “RoHS Directive,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59" w:lineRule="exact"/>
        <w:rPr>
          <w:sz w:val="20"/>
          <w:szCs w:val="20"/>
          <w:color w:val="auto"/>
        </w:rPr>
      </w:pPr>
    </w:p>
    <w:p>
      <w:pPr>
        <w:ind w:right="520" w:firstLine="518"/>
        <w:spacing w:after="0" w:line="276"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During the first fiscal quarter ended March 30, 2019, the reported high and low closing prices of our common stock were $5.18 and $4.14.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6" w:name="page37"/>
    <w:bookmarkEnd w:id="36"/>
    <w:p>
      <w:pPr>
        <w:ind w:left="520"/>
        <w:spacing w:after="0"/>
        <w:rPr>
          <w:sz w:val="20"/>
          <w:szCs w:val="20"/>
          <w:color w:val="auto"/>
        </w:rPr>
      </w:pPr>
      <w:r>
        <w:rPr>
          <w:rFonts w:ascii="Arial" w:cs="Arial" w:eastAsia="Arial" w:hAnsi="Arial"/>
          <w:sz w:val="16"/>
          <w:szCs w:val="16"/>
          <w:b w:val="1"/>
          <w:bCs w:val="1"/>
          <w:i w:val="1"/>
          <w:iCs w:val="1"/>
          <w:color w:val="auto"/>
        </w:rPr>
        <w:t>Because we do not intend to pay dividends, stockholders will benefit from an investment in our common stock only if it appreciates in value.</w:t>
      </w:r>
    </w:p>
    <w:p>
      <w:pPr>
        <w:spacing w:after="0" w:line="140"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In addition, our loan facility with Silicon Valley Bank restricts us from paying any dividends or making any other distribution or payment on account of our common stock.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Ownership of our common stock is concentrated among a few investors, which may affect the ability of a third party to acquire control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as of March 30, 2019.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79"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57"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84"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8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7" w:name="page38"/>
    <w:bookmarkEnd w:id="37"/>
    <w:p>
      <w:pPr>
        <w:ind w:right="40" w:firstLine="518"/>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4"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76" w:right="339" w:bottom="1440" w:gutter="0" w:footer="0" w:header="0"/>
        </w:sectPr>
      </w:pPr>
    </w:p>
    <w:bookmarkStart w:id="38" w:name="page39"/>
    <w:bookmarkEnd w:id="38"/>
    <w:p>
      <w:pPr>
        <w:ind w:right="5059"/>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Sales of Unregistered Securities</w:t>
      </w: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3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1038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gridSpan w:val="2"/>
          </w:tcPr>
          <w:p>
            <w:pPr>
              <w:spacing w:after="0"/>
              <w:rPr>
                <w:sz w:val="20"/>
                <w:szCs w:val="20"/>
                <w:color w:val="auto"/>
              </w:rPr>
            </w:pPr>
            <w:r>
              <w:rPr>
                <w:rFonts w:ascii="Arial" w:cs="Arial" w:eastAsia="Arial" w:hAnsi="Arial"/>
                <w:sz w:val="18"/>
                <w:szCs w:val="18"/>
                <w:color w:val="auto"/>
              </w:rPr>
              <w:t>3.1 (1) (P)</w:t>
            </w:r>
          </w:p>
        </w:tc>
        <w:tc>
          <w:tcPr>
            <w:tcW w:w="10380" w:type="dxa"/>
            <w:vAlign w:val="bottom"/>
            <w:gridSpan w:val="7"/>
          </w:tcPr>
          <w:p>
            <w:pPr>
              <w:spacing w:after="0"/>
              <w:rPr>
                <w:sz w:val="20"/>
                <w:szCs w:val="20"/>
                <w:color w:val="auto"/>
              </w:rPr>
            </w:pPr>
            <w:r>
              <w:rPr>
                <w:rFonts w:ascii="Arial" w:cs="Arial" w:eastAsia="Arial" w:hAnsi="Arial"/>
                <w:sz w:val="18"/>
                <w:szCs w:val="18"/>
                <w:color w:val="auto"/>
              </w:rPr>
              <w:t>Amended and Restated Certificate of Incorporation of Registrant.</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3.2 (2)</w:t>
            </w:r>
          </w:p>
        </w:tc>
        <w:tc>
          <w:tcPr>
            <w:tcW w:w="12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color w:val="0000EE"/>
              </w:rPr>
            </w:pPr>
            <w:hyperlink r:id="rId58">
              <w:r>
                <w:rPr>
                  <w:rFonts w:ascii="Arial" w:cs="Arial" w:eastAsia="Arial" w:hAnsi="Arial"/>
                  <w:sz w:val="18"/>
                  <w:szCs w:val="18"/>
                  <w:color w:val="0000EE"/>
                </w:rPr>
                <w:t>Amended and Restated Bylaws of Registrant.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Certification of Principal Executive Officer pursuant to Securities Exchange Act Rules 13a-14(a) and 15d-14(a).</w:t>
              </w:r>
            </w:hyperlink>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80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Principal Financial Officer pursuant to Securities Exchange Act Rules 13a-14(a) and 15d-14(a).</w:t>
              </w:r>
            </w:hyperlink>
          </w:p>
        </w:tc>
        <w:tc>
          <w:tcPr>
            <w:tcW w:w="40" w:type="dxa"/>
            <w:vAlign w:val="bottom"/>
            <w:tcBorders>
              <w:top w:val="single" w:sz="8" w:color="0000EE"/>
            </w:tcBorders>
          </w:tcPr>
          <w:p>
            <w:pPr>
              <w:spacing w:after="0"/>
              <w:rPr>
                <w:sz w:val="24"/>
                <w:szCs w:val="24"/>
                <w:color w:val="auto"/>
              </w:rPr>
            </w:pPr>
          </w:p>
        </w:tc>
        <w:tc>
          <w:tcPr>
            <w:tcW w:w="2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Certification of Principal Executive Officer pursuant to 18 U.S.C. Section 1350, as adopted pursuant to Section 906 of the Sarbanes-Oxley Act</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of 2002.</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7"/>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-1594485</wp:posOffset>
            </wp:positionV>
            <wp:extent cx="17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-1594485</wp:posOffset>
            </wp:positionV>
            <wp:extent cx="17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9" w:lineRule="exact"/>
        <w:rPr>
          <w:sz w:val="20"/>
          <w:szCs w:val="20"/>
          <w:color w:val="auto"/>
        </w:rPr>
      </w:pPr>
    </w:p>
    <w:p>
      <w:pPr>
        <w:ind w:left="520" w:right="120" w:hanging="512"/>
        <w:spacing w:after="0" w:line="259"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79" w:lineRule="exact"/>
        <w:rPr>
          <w:sz w:val="20"/>
          <w:szCs w:val="20"/>
          <w:color w:val="auto"/>
        </w:rPr>
      </w:pPr>
    </w:p>
    <w:p>
      <w:pPr>
        <w:ind w:left="520" w:right="26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Registration Statement on Form SB-2 (No. 333-00320-LA) which was declared effective on February 15, 1996.</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April 1, 2019.</w:t>
      </w:r>
    </w:p>
    <w:p>
      <w:pPr>
        <w:spacing w:after="0" w:line="117"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Print filing.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Quarterly Report on Form 10-Q are the property of their respective owners.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IRIDEX Corporation (Registrant)</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7, 2019</w:t>
            </w:r>
          </w:p>
        </w:tc>
        <w:tc>
          <w:tcPr>
            <w:tcW w:w="7920" w:type="dxa"/>
            <w:vAlign w:val="bottom"/>
            <w:gridSpan w:val="4"/>
          </w:tcPr>
          <w:p>
            <w:pPr>
              <w:ind w:left="3060"/>
              <w:spacing w:after="0"/>
              <w:rPr>
                <w:sz w:val="20"/>
                <w:szCs w:val="20"/>
                <w:color w:val="auto"/>
              </w:rPr>
            </w:pPr>
            <w:r>
              <w:rPr>
                <w:rFonts w:ascii="Arial" w:cs="Arial" w:eastAsia="Arial" w:hAnsi="Arial"/>
                <w:sz w:val="18"/>
                <w:szCs w:val="18"/>
                <w:color w:val="auto"/>
              </w:rPr>
              <w:t>By:  /s/ WILLIAM M. MOORE</w:t>
            </w:r>
          </w:p>
        </w:tc>
      </w:tr>
      <w:tr>
        <w:trPr>
          <w:trHeight w:val="195"/>
        </w:trPr>
        <w:tc>
          <w:tcPr>
            <w:tcW w:w="35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5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M. Moore</w:t>
            </w:r>
          </w:p>
        </w:tc>
      </w:tr>
      <w:tr>
        <w:trPr>
          <w:trHeight w:val="216"/>
        </w:trPr>
        <w:tc>
          <w:tcPr>
            <w:tcW w:w="3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7, 2019</w:t>
            </w:r>
          </w:p>
        </w:tc>
        <w:tc>
          <w:tcPr>
            <w:tcW w:w="7920" w:type="dxa"/>
            <w:vAlign w:val="bottom"/>
            <w:gridSpan w:val="4"/>
          </w:tcPr>
          <w:p>
            <w:pPr>
              <w:ind w:left="3060"/>
              <w:spacing w:after="0"/>
              <w:rPr>
                <w:sz w:val="20"/>
                <w:szCs w:val="20"/>
                <w:color w:val="auto"/>
              </w:rPr>
            </w:pPr>
            <w:r>
              <w:rPr>
                <w:rFonts w:ascii="Arial" w:cs="Arial" w:eastAsia="Arial" w:hAnsi="Arial"/>
                <w:sz w:val="18"/>
                <w:szCs w:val="18"/>
                <w:color w:val="auto"/>
              </w:rPr>
              <w:t>By:  /s/ ROMEO R. DIZON</w:t>
            </w:r>
          </w:p>
        </w:tc>
      </w:tr>
      <w:tr>
        <w:trPr>
          <w:trHeight w:val="195"/>
        </w:trPr>
        <w:tc>
          <w:tcPr>
            <w:tcW w:w="35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Romeo R. Dizon</w:t>
            </w:r>
          </w:p>
        </w:tc>
      </w:tr>
      <w:tr>
        <w:trPr>
          <w:trHeight w:val="216"/>
        </w:trPr>
        <w:tc>
          <w:tcPr>
            <w:tcW w:w="3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Vice President of Finance</w:t>
            </w:r>
          </w:p>
        </w:tc>
      </w:tr>
      <w:tr>
        <w:trPr>
          <w:trHeight w:val="230"/>
        </w:trPr>
        <w:tc>
          <w:tcPr>
            <w:tcW w:w="35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675"/>
        </w:trPr>
        <w:tc>
          <w:tcPr>
            <w:tcW w:w="3500" w:type="dxa"/>
            <w:vAlign w:val="bottom"/>
          </w:tcPr>
          <w:p>
            <w:pPr>
              <w:spacing w:after="0"/>
              <w:rPr>
                <w:sz w:val="24"/>
                <w:szCs w:val="24"/>
                <w:color w:val="auto"/>
              </w:rPr>
            </w:pPr>
          </w:p>
        </w:tc>
        <w:tc>
          <w:tcPr>
            <w:tcW w:w="3440" w:type="dxa"/>
            <w:vAlign w:val="bottom"/>
          </w:tcPr>
          <w:p>
            <w:pPr>
              <w:jc w:val="right"/>
              <w:ind w:right="105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M. Moore, certify that:</w:t>
      </w:r>
    </w:p>
    <w:p>
      <w:pPr>
        <w:spacing w:after="0" w:line="117"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86" w:lineRule="auto"/>
        <w:tabs>
          <w:tab w:leader="none" w:pos="15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 MOORE</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William M. Moore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(Principal Executive and Financial Officer)</w:t>
            </w:r>
          </w:p>
        </w:tc>
      </w:tr>
    </w:tbl>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Romeo R. Dizon, certify that:</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86" w:lineRule="auto"/>
        <w:tabs>
          <w:tab w:leader="none" w:pos="15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ROMEO R. DIZON</w:t>
            </w: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spacing w:after="0"/>
              <w:rPr>
                <w:sz w:val="20"/>
                <w:szCs w:val="20"/>
                <w:color w:val="auto"/>
              </w:rPr>
            </w:pPr>
            <w:r>
              <w:rPr>
                <w:rFonts w:ascii="Arial" w:cs="Arial" w:eastAsia="Arial" w:hAnsi="Arial"/>
                <w:sz w:val="18"/>
                <w:szCs w:val="18"/>
                <w:color w:val="auto"/>
              </w:rPr>
              <w:t>Romeo R. Dizon</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230"/>
        </w:trPr>
        <w:tc>
          <w:tcPr>
            <w:tcW w:w="8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 William M. Moore, pursuant to 18 U.S.C. Section 1350, as adopted pursuant to Section 906 of the Sarbanes-Oxley Act of 2002, certify that the Quarterly Report of IRIDEX Corporation on Form 10-Q for the fiscal quarter ended March 30, 2019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M. MOORE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William 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and Financial Officer)</w:t>
      </w:r>
    </w:p>
    <w:p>
      <w:pPr>
        <w:sectPr>
          <w:pgSz w:w="11900" w:h="16838" w:orient="portrait"/>
          <w:cols w:equalWidth="0" w:num="1">
            <w:col w:w="11420"/>
          </w:cols>
          <w:pgMar w:left="240" w:top="35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 Romeo R. Dizon, pursuant to 18 U.S.C. Section 1350, as adopted pursuant to Section 906 of the Sarbanes-Oxley Act of 2002, certify that the Quarterly Report of IRIDEX Corporation on Form 10-Q for the fiscal quarter ended March 30, 2019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ROMEO R. DIZON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Romeo R. Dizon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 of Finance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upperLetter"/>
      <w:start w:val="16"/>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58" Type="http://schemas.openxmlformats.org/officeDocument/2006/relationships/hyperlink" Target="http://www.sec.gov/Archives/edgar/data/1006045/000156459019010390/irix-ex3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2019-12-28T12:47:06Z</dcterms:created>
  <dcterms:modified xsi:type="dcterms:W3CDTF">2019-12-28T12:47:06Z</dcterms:modified>
</cp:coreProperties>
</file>