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00" w:right="240" w:hanging="492"/>
        <w:spacing w:after="0" w:line="237" w:lineRule="auto"/>
        <w:tabs>
          <w:tab w:leader="none" w:pos="5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-291465</wp:posOffset>
            </wp:positionV>
            <wp:extent cx="104140" cy="105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00" w:right="220" w:hanging="492"/>
        <w:spacing w:after="0" w:line="262" w:lineRule="auto"/>
        <w:tabs>
          <w:tab w:leader="none" w:pos="5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IRIDEX CORPORATION</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4"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2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Pr>
          <w:p>
            <w:pPr>
              <w:jc w:val="center"/>
              <w:ind w:left="1841"/>
              <w:spacing w:after="0"/>
              <w:rPr>
                <w:sz w:val="20"/>
                <w:szCs w:val="20"/>
                <w:color w:val="auto"/>
              </w:rPr>
            </w:pPr>
            <w:r>
              <w:rPr>
                <w:rFonts w:ascii="Times New Roman" w:cs="Times New Roman" w:eastAsia="Times New Roman" w:hAnsi="Times New Roman"/>
                <w:sz w:val="18"/>
                <w:szCs w:val="18"/>
                <w:b w:val="1"/>
                <w:bCs w:val="1"/>
                <w:color w:val="auto"/>
                <w:w w:val="98"/>
              </w:rPr>
              <w:t>77-0210467</w:t>
            </w:r>
          </w:p>
        </w:tc>
      </w:tr>
      <w:tr>
        <w:trPr>
          <w:trHeight w:val="149"/>
        </w:trPr>
        <w:tc>
          <w:tcPr>
            <w:tcW w:w="428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34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28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34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98"/>
        </w:trPr>
        <w:tc>
          <w:tcPr>
            <w:tcW w:w="428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1212 Terra Bella Avenue</w:t>
            </w:r>
          </w:p>
        </w:tc>
        <w:tc>
          <w:tcPr>
            <w:tcW w:w="3340" w:type="dxa"/>
            <w:vAlign w:val="bottom"/>
          </w:tcPr>
          <w:p>
            <w:pPr>
              <w:spacing w:after="0"/>
              <w:rPr>
                <w:sz w:val="24"/>
                <w:szCs w:val="24"/>
                <w:color w:val="auto"/>
              </w:rPr>
            </w:pPr>
          </w:p>
        </w:tc>
      </w:tr>
      <w:tr>
        <w:trPr>
          <w:trHeight w:val="214"/>
        </w:trPr>
        <w:tc>
          <w:tcPr>
            <w:tcW w:w="42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9"/>
              </w:rPr>
              <w:t>Mountain View, California</w:t>
            </w:r>
          </w:p>
        </w:tc>
        <w:tc>
          <w:tcPr>
            <w:tcW w:w="3340" w:type="dxa"/>
            <w:vAlign w:val="bottom"/>
          </w:tcPr>
          <w:p>
            <w:pPr>
              <w:jc w:val="center"/>
              <w:ind w:left="1841"/>
              <w:spacing w:after="0"/>
              <w:rPr>
                <w:sz w:val="20"/>
                <w:szCs w:val="20"/>
                <w:color w:val="auto"/>
              </w:rPr>
            </w:pPr>
            <w:r>
              <w:rPr>
                <w:rFonts w:ascii="Times New Roman" w:cs="Times New Roman" w:eastAsia="Times New Roman" w:hAnsi="Times New Roman"/>
                <w:sz w:val="18"/>
                <w:szCs w:val="18"/>
                <w:b w:val="1"/>
                <w:bCs w:val="1"/>
                <w:color w:val="auto"/>
                <w:w w:val="98"/>
              </w:rPr>
              <w:t>94043-1824</w:t>
            </w:r>
          </w:p>
        </w:tc>
      </w:tr>
      <w:tr>
        <w:trPr>
          <w:trHeight w:val="190"/>
        </w:trPr>
        <w:tc>
          <w:tcPr>
            <w:tcW w:w="428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34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940-4700</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top w:val="single" w:sz="8" w:color="auto"/>
            </w:tcBorders>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450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8"/>
              </w:rPr>
              <w:t>Title of Class</w:t>
            </w: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Trading Symbol</w:t>
            </w: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IRIX</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43" w:lineRule="exact"/>
        <w:rPr>
          <w:sz w:val="24"/>
          <w:szCs w:val="24"/>
          <w:color w:val="auto"/>
        </w:rPr>
      </w:pPr>
    </w:p>
    <w:p>
      <w:pPr>
        <w:jc w:val="both"/>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580"/>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common stock, $0.01 par value, issued and outstanding as of October 22, 2020 was 13,897,563.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652145</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8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Items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31"/>
        </w:trPr>
        <w:tc>
          <w:tcPr>
            <w:tcW w:w="10480" w:type="dxa"/>
            <w:vAlign w:val="bottom"/>
            <w:gridSpan w:val="10"/>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PART I. FINANCIAL INFORMATION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Condensed Consolidated Financial Statements (Unaudited)</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65"/>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Condensed Consolidated Balance Sheets as of September 26, 2020 and December 28, 2019</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97"/>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Unaudited Condensed Consolidated Statements of Operations for the three and nine months ended September 26, 2020 and</w:t>
              </w:r>
            </w:hyperlink>
          </w:p>
        </w:tc>
        <w:tc>
          <w:tcPr>
            <w:tcW w:w="760" w:type="dxa"/>
            <w:vAlign w:val="bottom"/>
            <w:gridSpan w:val="4"/>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40" w:type="dxa"/>
            <w:vAlign w:val="bottom"/>
            <w:gridSpan w:val="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September 28, 2019</w:t>
              </w:r>
            </w:hyperlink>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Unaudited Condensed Consolidated Statements of Comprehensive Loss for the three and nine months ended September 26, 2020</w:t>
              </w:r>
            </w:hyperlink>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and September 28, 2019</w:t>
              </w:r>
            </w:hyperlink>
          </w:p>
        </w:tc>
        <w:tc>
          <w:tcPr>
            <w:tcW w:w="7540" w:type="dxa"/>
            <w:vAlign w:val="bottom"/>
            <w:tcBorders>
              <w:top w:val="single" w:sz="8" w:color="0000EE"/>
            </w:tcBorders>
            <w:gridSpan w:val="3"/>
          </w:tcPr>
          <w:p>
            <w:pPr>
              <w:spacing w:after="0"/>
              <w:rPr>
                <w:sz w:val="17"/>
                <w:szCs w:val="17"/>
                <w:color w:val="auto"/>
              </w:rPr>
            </w:pPr>
          </w:p>
        </w:tc>
        <w:tc>
          <w:tcPr>
            <w:tcW w:w="14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318"/>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Unaudited Condensed Consolidated Statements of Stockholder's Equity for the three and nine months ended September 26, 2020</w:t>
              </w:r>
            </w:hyperlink>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and September 28, 2019</w:t>
              </w:r>
            </w:hyperlink>
          </w:p>
        </w:tc>
        <w:tc>
          <w:tcPr>
            <w:tcW w:w="7520" w:type="dxa"/>
            <w:vAlign w:val="bottom"/>
            <w:tcBorders>
              <w:top w:val="single" w:sz="8" w:color="0000EE"/>
            </w:tcBorders>
            <w:gridSpan w:val="2"/>
          </w:tcPr>
          <w:p>
            <w:pPr>
              <w:spacing w:after="0"/>
              <w:rPr>
                <w:sz w:val="17"/>
                <w:szCs w:val="17"/>
                <w:color w:val="auto"/>
              </w:rPr>
            </w:pPr>
          </w:p>
        </w:tc>
        <w:tc>
          <w:tcPr>
            <w:tcW w:w="16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318"/>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3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9">
              <w:r>
                <w:rPr>
                  <w:rFonts w:ascii="Times New Roman" w:cs="Times New Roman" w:eastAsia="Times New Roman" w:hAnsi="Times New Roman"/>
                  <w:sz w:val="18"/>
                  <w:szCs w:val="18"/>
                  <w:color w:val="0000EE"/>
                  <w:w w:val="99"/>
                </w:rPr>
                <w:t>Unaudited Condensed Consolidated Statements of Cash Flows for the nine months ended September 26, 2020 and September 28,</w:t>
              </w:r>
            </w:hyperlink>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w:anchor="page9">
              <w:r>
                <w:rPr>
                  <w:rFonts w:ascii="Times New Roman" w:cs="Times New Roman" w:eastAsia="Times New Roman" w:hAnsi="Times New Roman"/>
                  <w:sz w:val="18"/>
                  <w:szCs w:val="18"/>
                  <w:color w:val="0000EE"/>
                  <w:w w:val="94"/>
                </w:rPr>
                <w:t>2019</w:t>
              </w:r>
            </w:hyperlink>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385"/>
        </w:trPr>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1">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Quantitative and Qualitative Disclosures about Market Risk</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5">
              <w:r>
                <w:rPr>
                  <w:rFonts w:ascii="Times New Roman" w:cs="Times New Roman" w:eastAsia="Times New Roman" w:hAnsi="Times New Roman"/>
                  <w:sz w:val="18"/>
                  <w:szCs w:val="18"/>
                  <w:u w:val="single" w:color="auto"/>
                  <w:color w:val="0000EE"/>
                </w:rPr>
                <w:t>Controls and Procedures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38"/>
        </w:trPr>
        <w:tc>
          <w:tcPr>
            <w:tcW w:w="10480" w:type="dxa"/>
            <w:vAlign w:val="bottom"/>
            <w:gridSpan w:val="10"/>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PART II. OTHER INFORMATION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Legal Proceedings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26">
              <w:r>
                <w:rPr>
                  <w:rFonts w:ascii="Times New Roman" w:cs="Times New Roman" w:eastAsia="Times New Roman" w:hAnsi="Times New Roman"/>
                  <w:sz w:val="18"/>
                  <w:szCs w:val="18"/>
                  <w:u w:val="single" w:color="auto"/>
                  <w:color w:val="0000EE"/>
                </w:rPr>
                <w:t>Risk Factors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Defaults Upon Senior Securities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6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Mine Safety Disclosures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Other Information</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36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0" w:type="dxa"/>
            <w:vAlign w:val="bottom"/>
          </w:tcPr>
          <w:p>
            <w:pPr>
              <w:spacing w:after="0"/>
              <w:rPr>
                <w:sz w:val="24"/>
                <w:szCs w:val="24"/>
                <w:color w:val="auto"/>
              </w:rPr>
            </w:pPr>
          </w:p>
        </w:tc>
        <w:tc>
          <w:tcPr>
            <w:tcW w:w="9440" w:type="dxa"/>
            <w:vAlign w:val="bottom"/>
            <w:gridSpan w:val="8"/>
          </w:tcPr>
          <w:p>
            <w:pPr>
              <w:spacing w:after="0"/>
              <w:rPr>
                <w:rFonts w:ascii="Times New Roman" w:cs="Times New Roman" w:eastAsia="Times New Roman" w:hAnsi="Times New Roman"/>
                <w:sz w:val="18"/>
                <w:szCs w:val="18"/>
                <w:u w:val="single" w:color="auto"/>
                <w:color w:val="0000EE"/>
              </w:rPr>
            </w:pPr>
            <w:hyperlink w:anchor="page44">
              <w:r>
                <w:rPr>
                  <w:rFonts w:ascii="Times New Roman" w:cs="Times New Roman" w:eastAsia="Times New Roman" w:hAnsi="Times New Roman"/>
                  <w:sz w:val="18"/>
                  <w:szCs w:val="18"/>
                  <w:u w:val="single" w:color="auto"/>
                  <w:color w:val="0000EE"/>
                </w:rPr>
                <w:t>Exhibits</w:t>
              </w:r>
            </w:hyperlink>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38"/>
        </w:trPr>
        <w:tc>
          <w:tcPr>
            <w:tcW w:w="940" w:type="dxa"/>
            <w:vAlign w:val="bottom"/>
          </w:tcPr>
          <w:p>
            <w:pPr>
              <w:spacing w:after="0"/>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Signatures</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97"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94" w:lineRule="exact"/>
        <w:rPr>
          <w:sz w:val="20"/>
          <w:szCs w:val="20"/>
          <w:color w:val="auto"/>
        </w:rPr>
      </w:pPr>
    </w:p>
    <w:p>
      <w:pPr>
        <w:jc w:val="both"/>
        <w:ind w:left="1000" w:right="100" w:hanging="493"/>
        <w:spacing w:after="0" w:line="257"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 w:lineRule="exact"/>
        <w:rPr>
          <w:rFonts w:ascii="Times New Roman" w:cs="Times New Roman" w:eastAsia="Times New Roman" w:hAnsi="Times New Roman"/>
          <w:sz w:val="18"/>
          <w:szCs w:val="18"/>
          <w:color w:val="auto"/>
        </w:rPr>
      </w:pPr>
    </w:p>
    <w:p>
      <w:pPr>
        <w:ind w:left="1000" w:hanging="493"/>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and purchase of our existing products and new products;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 and interest rate fluctuations on our results and sales;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change and innovation in the markets in which we participate and the competitive nature of those markets;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plan to build our business;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manufacturing and reliance on third party manufacturers;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and meet product demand;</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defects in our products and systems;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and sales strategy;</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cash flows;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objectives for future operations;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information technology systems and data;</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facilities in good working order;</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carrying value of goodwill;</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expensing stock options and other equity awards;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indemnify our directors and officers;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 and have indebtedness forgiven;</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to meet cash needs for at least the next 12 months;</w:t>
      </w:r>
    </w:p>
    <w:p>
      <w:pPr>
        <w:spacing w:after="0" w:line="9" w:lineRule="exact"/>
        <w:rPr>
          <w:rFonts w:ascii="Times New Roman" w:cs="Times New Roman" w:eastAsia="Times New Roman" w:hAnsi="Times New Roman"/>
          <w:sz w:val="18"/>
          <w:szCs w:val="18"/>
          <w:color w:val="auto"/>
        </w:rPr>
      </w:pPr>
    </w:p>
    <w:p>
      <w:pPr>
        <w:ind w:left="1000" w:right="20" w:hanging="493"/>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policies, and regulations that currently apply or become applicable to our business both in the United States and internationally;</w:t>
      </w: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key personnel, and source suppliers;</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9"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in the future.</w:t>
      </w:r>
    </w:p>
    <w:p>
      <w:pPr>
        <w:spacing w:after="0" w:line="3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3" w:name="page4"/>
    <w:bookmarkEnd w:id="3"/>
    <w:p>
      <w:pPr>
        <w:ind w:firstLine="51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89"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7"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79"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“Company,” “IRIDEX,” “we,” “us” and “our” refer to IRIDEX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10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28, 2019 (1)</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$278 as of September 26, 2020 and $187 as of December 28, 2019</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Current portion of PPP loan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9,213</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PPP loan</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warranty</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Preferred stock, $0.01 par value, 2,000,000 shares authorized, no shares</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issued and outstanding</w:t>
            </w:r>
          </w:p>
        </w:tc>
        <w:tc>
          <w:tcPr>
            <w:tcW w:w="10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Authorized: 30,000,000 shares;</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13,897,353 and 13,785,233 shares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of September 26, 2020 and December 28, 2019, respectively</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73,837</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(56,765)</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(50,615)</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17,252</w:t>
            </w:r>
          </w:p>
        </w:tc>
        <w:tc>
          <w:tcPr>
            <w:tcW w:w="26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28,459</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right="46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financial statements included in the Annual Report on Form 10-K filed with the SEC for the year ended December 28, 2019.</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5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8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2"/>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584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Weighted average shares used in computing net loss</w:t>
            </w: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 common share:</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24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25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58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57"/>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r>
      <w:tr>
        <w:trPr>
          <w:trHeight w:val="173"/>
        </w:trPr>
        <w:tc>
          <w:tcPr>
            <w:tcW w:w="58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23"/>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(7,252)</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r>
      <w:tr>
        <w:trPr>
          <w:trHeight w:val="223"/>
        </w:trPr>
        <w:tc>
          <w:tcPr>
            <w:tcW w:w="58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26, 2020</w:t>
            </w:r>
          </w:p>
        </w:tc>
        <w:tc>
          <w:tcPr>
            <w:tcW w:w="234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20" w:type="dxa"/>
            <w:vAlign w:val="bottom"/>
            <w:vMerge w:val="continue"/>
          </w:tcPr>
          <w:p>
            <w:pPr>
              <w:spacing w:after="0"/>
              <w:rPr>
                <w:sz w:val="15"/>
                <w:szCs w:val="15"/>
                <w:color w:val="auto"/>
              </w:rPr>
            </w:pPr>
          </w:p>
        </w:tc>
        <w:tc>
          <w:tcPr>
            <w:tcW w:w="23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8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27,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13,856,969</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73,619</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(55,046)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18,794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40,384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(1,719)</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(1,719)</w:t>
            </w:r>
          </w:p>
        </w:tc>
        <w:tc>
          <w:tcPr>
            <w:tcW w:w="0" w:type="dxa"/>
            <w:vAlign w:val="bottom"/>
          </w:tcPr>
          <w:p>
            <w:pPr>
              <w:spacing w:after="0"/>
              <w:rPr>
                <w:sz w:val="1"/>
                <w:szCs w:val="1"/>
                <w:color w:val="auto"/>
              </w:rPr>
            </w:pPr>
          </w:p>
        </w:tc>
      </w:tr>
      <w:tr>
        <w:trPr>
          <w:trHeight w:val="247"/>
        </w:trPr>
        <w:tc>
          <w:tcPr>
            <w:tcW w:w="36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Balances, September 26, 2020</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13,897,353</w:t>
            </w:r>
          </w:p>
        </w:tc>
        <w:tc>
          <w:tcPr>
            <w:tcW w:w="2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73,837</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36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1"/>
                <w:szCs w:val="11"/>
                <w:color w:val="auto"/>
              </w:rPr>
            </w:pPr>
          </w:p>
        </w:tc>
        <w:tc>
          <w:tcPr>
            <w:tcW w:w="110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26, 2020</w:t>
            </w:r>
          </w:p>
        </w:tc>
        <w:tc>
          <w:tcPr>
            <w:tcW w:w="234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20" w:type="dxa"/>
            <w:vAlign w:val="bottom"/>
            <w:vMerge w:val="continue"/>
          </w:tcPr>
          <w:p>
            <w:pPr>
              <w:spacing w:after="0"/>
              <w:rPr>
                <w:sz w:val="15"/>
                <w:szCs w:val="15"/>
                <w:color w:val="auto"/>
              </w:rPr>
            </w:pPr>
          </w:p>
        </w:tc>
        <w:tc>
          <w:tcPr>
            <w:tcW w:w="23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8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December 28,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13,785,233</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73,093</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(50,615)</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22,705</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112,120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(6,150)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(6,150)</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Balances, September 26, 2020</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13,897,353</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73,837</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28, 2019</w:t>
            </w:r>
          </w:p>
        </w:tc>
        <w:tc>
          <w:tcPr>
            <w:tcW w:w="234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20" w:type="dxa"/>
            <w:vAlign w:val="bottom"/>
            <w:vMerge w:val="continue"/>
          </w:tcPr>
          <w:p>
            <w:pPr>
              <w:spacing w:after="0"/>
              <w:rPr>
                <w:sz w:val="15"/>
                <w:szCs w:val="15"/>
                <w:color w:val="auto"/>
              </w:rPr>
            </w:pPr>
          </w:p>
        </w:tc>
        <w:tc>
          <w:tcPr>
            <w:tcW w:w="23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8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June 29, 2019</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13,746,959</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72,685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(47,269)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25,629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31,913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(1,785)</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(1,785)</w:t>
            </w:r>
          </w:p>
        </w:tc>
        <w:tc>
          <w:tcPr>
            <w:tcW w:w="0" w:type="dxa"/>
            <w:vAlign w:val="bottom"/>
          </w:tcPr>
          <w:p>
            <w:pPr>
              <w:spacing w:after="0"/>
              <w:rPr>
                <w:sz w:val="1"/>
                <w:szCs w:val="1"/>
                <w:color w:val="auto"/>
              </w:rPr>
            </w:pPr>
          </w:p>
        </w:tc>
      </w:tr>
      <w:tr>
        <w:trPr>
          <w:trHeight w:val="20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Balances, September 28, 2019</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13,778,872</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72,793</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(49,054)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28, 2019</w:t>
            </w:r>
          </w:p>
        </w:tc>
        <w:tc>
          <w:tcPr>
            <w:tcW w:w="2340" w:type="dxa"/>
            <w:vAlign w:val="bottom"/>
            <w:gridSpan w:val="4"/>
            <w:vMerge w:val="restart"/>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20" w:type="dxa"/>
            <w:vAlign w:val="bottom"/>
            <w:vMerge w:val="continue"/>
          </w:tcPr>
          <w:p>
            <w:pPr>
              <w:spacing w:after="0"/>
              <w:rPr>
                <w:sz w:val="15"/>
                <w:szCs w:val="15"/>
                <w:color w:val="auto"/>
              </w:rPr>
            </w:pPr>
          </w:p>
        </w:tc>
        <w:tc>
          <w:tcPr>
            <w:tcW w:w="234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80" w:type="dxa"/>
            <w:vAlign w:val="bottom"/>
            <w:gridSpan w:val="2"/>
          </w:tcPr>
          <w:p>
            <w:pPr>
              <w:ind w:left="3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880" w:type="dxa"/>
            <w:vAlign w:val="bottom"/>
          </w:tcPr>
          <w:p>
            <w:pPr>
              <w:jc w:val="right"/>
              <w:ind w:right="20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3"/>
                <w:szCs w:val="13"/>
                <w:color w:val="auto"/>
              </w:rPr>
            </w:pPr>
          </w:p>
        </w:tc>
        <w:tc>
          <w:tcPr>
            <w:tcW w:w="11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December 29, 2018</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13,602,052</w:t>
            </w: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71,548</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(41,802)</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29,961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under stock</w:t>
            </w: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6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option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Employee stock-based compensation expense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Release of restricted stock, net of taxes paid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(7,252)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(7,252)</w:t>
            </w:r>
          </w:p>
        </w:tc>
        <w:tc>
          <w:tcPr>
            <w:tcW w:w="0" w:type="dxa"/>
            <w:vAlign w:val="bottom"/>
          </w:tcPr>
          <w:p>
            <w:pPr>
              <w:spacing w:after="0"/>
              <w:rPr>
                <w:sz w:val="1"/>
                <w:szCs w:val="1"/>
                <w:color w:val="auto"/>
              </w:rPr>
            </w:pPr>
          </w:p>
        </w:tc>
      </w:tr>
      <w:tr>
        <w:trPr>
          <w:trHeight w:val="209"/>
        </w:trPr>
        <w:tc>
          <w:tcPr>
            <w:tcW w:w="36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Balances, September 28, 2019</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13,778,872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72,793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(49,054)</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23,988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0" w:type="dxa"/>
            <w:vAlign w:val="bottom"/>
            <w:gridSpan w:val="5"/>
          </w:tcPr>
          <w:p>
            <w:pPr>
              <w:jc w:val="right"/>
              <w:ind w:right="12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6"/>
        </w:trPr>
        <w:tc>
          <w:tcPr>
            <w:tcW w:w="6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2"/>
          </w:tcPr>
          <w:p>
            <w:pPr>
              <w:jc w:val="right"/>
              <w:ind w:right="48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2020</w:t>
            </w:r>
          </w:p>
        </w:tc>
        <w:tc>
          <w:tcPr>
            <w:tcW w:w="14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right"/>
              <w:ind w:right="91"/>
              <w:spacing w:after="0" w:line="155" w:lineRule="exact"/>
              <w:rPr>
                <w:sz w:val="20"/>
                <w:szCs w:val="20"/>
                <w:color w:val="auto"/>
              </w:rPr>
            </w:pPr>
            <w:r>
              <w:rPr>
                <w:rFonts w:ascii="Times New Roman" w:cs="Times New Roman" w:eastAsia="Times New Roman" w:hAnsi="Times New Roman"/>
                <w:sz w:val="14"/>
                <w:szCs w:val="14"/>
                <w:b w:val="1"/>
                <w:bCs w:val="1"/>
                <w:color w:val="auto"/>
              </w:rPr>
              <w:t>September 28, 2019</w:t>
            </w:r>
          </w:p>
        </w:tc>
        <w:tc>
          <w:tcPr>
            <w:tcW w:w="120" w:type="dxa"/>
            <w:vAlign w:val="bottom"/>
          </w:tcPr>
          <w:p>
            <w:pPr>
              <w:spacing w:after="0"/>
              <w:rPr>
                <w:sz w:val="13"/>
                <w:szCs w:val="13"/>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(7,252)</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fair value of earn-out liability</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property and equipment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(188)</w:t>
            </w:r>
          </w:p>
        </w:tc>
      </w:tr>
      <w:tr>
        <w:trPr>
          <w:trHeight w:val="229"/>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long-term assets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(1,117)</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compensation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(510)</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(1,015)</w:t>
            </w:r>
          </w:p>
        </w:tc>
      </w:tr>
      <w:tr>
        <w:trPr>
          <w:trHeight w:val="229"/>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(726)</w:t>
            </w:r>
          </w:p>
        </w:tc>
      </w:tr>
      <w:tr>
        <w:trPr>
          <w:trHeight w:val="230"/>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warranty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r>
      <w:tr>
        <w:trPr>
          <w:trHeight w:val="229"/>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(1,209)</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(938)</w:t>
            </w: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3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Payment on earn-out liability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PPP loan</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4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3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Borders>
              <w:bottom w:val="single" w:sz="8" w:color="CFF0FC"/>
            </w:tcBorders>
          </w:tcPr>
          <w:p>
            <w:pPr>
              <w:spacing w:after="0"/>
              <w:rPr>
                <w:sz w:val="19"/>
                <w:szCs w:val="19"/>
                <w:color w:val="auto"/>
              </w:rPr>
            </w:pPr>
          </w:p>
        </w:tc>
      </w:tr>
      <w:tr>
        <w:trPr>
          <w:trHeight w:val="223"/>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Pr>
          <w:p>
            <w:pPr>
              <w:spacing w:after="0"/>
              <w:rPr>
                <w:sz w:val="19"/>
                <w:szCs w:val="19"/>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12,653</w:t>
            </w:r>
          </w:p>
        </w:tc>
        <w:tc>
          <w:tcPr>
            <w:tcW w:w="3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21,194</w:t>
            </w:r>
          </w:p>
        </w:tc>
        <w:tc>
          <w:tcPr>
            <w:tcW w:w="120" w:type="dxa"/>
            <w:vAlign w:val="bottom"/>
            <w:shd w:val="clear" w:color="auto" w:fill="CFF0FC"/>
          </w:tcPr>
          <w:p>
            <w:pPr>
              <w:spacing w:after="0"/>
              <w:rPr>
                <w:sz w:val="19"/>
                <w:szCs w:val="19"/>
                <w:color w:val="auto"/>
              </w:rPr>
            </w:pPr>
          </w:p>
        </w:tc>
      </w:tr>
      <w:tr>
        <w:trPr>
          <w:trHeight w:val="263"/>
        </w:trPr>
        <w:tc>
          <w:tcPr>
            <w:tcW w:w="6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4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11,932</w:t>
            </w:r>
          </w:p>
        </w:tc>
        <w:tc>
          <w:tcPr>
            <w:tcW w:w="3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12,948</w:t>
            </w:r>
          </w:p>
        </w:tc>
        <w:tc>
          <w:tcPr>
            <w:tcW w:w="120" w:type="dxa"/>
            <w:vAlign w:val="bottom"/>
            <w:tcBorders>
              <w:bottom w:val="single" w:sz="8" w:color="CFF0FC"/>
            </w:tcBorders>
          </w:tcPr>
          <w:p>
            <w:pPr>
              <w:spacing w:after="0"/>
              <w:rPr>
                <w:sz w:val="22"/>
                <w:szCs w:val="22"/>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(received) paid during the period for income taxes</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4"/>
        </w:trPr>
        <w:tc>
          <w:tcPr>
            <w:tcW w:w="6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Transfer of inventory to property and equipment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75" w:lineRule="exact"/>
        <w:rPr>
          <w:sz w:val="20"/>
          <w:szCs w:val="20"/>
          <w:color w:val="auto"/>
        </w:rPr>
      </w:pPr>
    </w:p>
    <w:p>
      <w:pPr>
        <w:ind w:right="20" w:firstLine="510"/>
        <w:spacing w:after="0" w:line="273"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December 28, 2019, which was filed with the Securities and Exchange Commission (“SEC”) on March 13, 2020. The results of operations for the three and nine months ended September 26, 2020 and September 28, 2019 are not necessarily indicative of the results for the fiscal year ending January 2, 2021 or any future interim period. The three and nine months ended September 26, 2020 and September 28, 2019,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w:t>
      </w:r>
    </w:p>
    <w:p>
      <w:pPr>
        <w:spacing w:after="0" w:line="119"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sales of our products to customers, and through common stock and borrowing arrangements. As of September 26, 2020, our principal sources of liquidity consisted of cash and cash equivalents of $11.9 million. We have incurred net losses over the last several years, and as of September 26, 2020, have an accumulated deficit of approximately $56.8 million. We expect to continue to incur operating losses and negative cash flows from operations through October 2, 2021.</w:t>
      </w:r>
    </w:p>
    <w:p>
      <w:pPr>
        <w:spacing w:after="0" w:line="72"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40" w:firstLine="51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disclosed in our Annual Report on Form 10-K for the year ended December 28, 2019, which was filed with the SEC on March 13, 2020.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20" w:firstLine="510"/>
        <w:spacing w:after="0" w:line="258"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68"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The Company has the following revenue transaction types: (1) Product Sale Only, (2) Laser Advantage Program (LAP), (3) Service Contracts, (4) System Repairs (outside of warranty) and (5) Royalty Revenue.</w:t>
      </w:r>
    </w:p>
    <w:p>
      <w:pPr>
        <w:spacing w:after="0" w:line="54" w:lineRule="exact"/>
        <w:rPr>
          <w:sz w:val="20"/>
          <w:szCs w:val="20"/>
          <w:color w:val="auto"/>
        </w:rPr>
      </w:pPr>
    </w:p>
    <w:p>
      <w:pPr>
        <w:ind w:left="1000" w:right="60" w:hanging="493"/>
        <w:spacing w:after="0" w:line="258"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these distributors.</w:t>
      </w:r>
    </w:p>
    <w:p>
      <w:pPr>
        <w:spacing w:after="0" w:line="75" w:lineRule="exact"/>
        <w:rPr>
          <w:rFonts w:ascii="Times New Roman" w:cs="Times New Roman" w:eastAsia="Times New Roman" w:hAnsi="Times New Roman"/>
          <w:sz w:val="18"/>
          <w:szCs w:val="18"/>
          <w:color w:val="auto"/>
        </w:rPr>
      </w:pPr>
    </w:p>
    <w:p>
      <w:pPr>
        <w:ind w:left="1020" w:right="2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71" w:lineRule="exact"/>
        <w:rPr>
          <w:rFonts w:ascii="Times New Roman" w:cs="Times New Roman" w:eastAsia="Times New Roman" w:hAnsi="Times New Roman"/>
          <w:sz w:val="18"/>
          <w:szCs w:val="18"/>
          <w:color w:val="auto"/>
        </w:rPr>
      </w:pPr>
    </w:p>
    <w:p>
      <w:pPr>
        <w:ind w:left="1000" w:hanging="493"/>
        <w:spacing w:after="0" w:line="25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machines and the trade in is essentially offered to encourage customers to purchase more consumables under the program.</w:t>
      </w:r>
    </w:p>
    <w:p>
      <w:pPr>
        <w:spacing w:after="0" w:line="79" w:lineRule="exact"/>
        <w:rPr>
          <w:rFonts w:ascii="Times New Roman" w:cs="Times New Roman" w:eastAsia="Times New Roman" w:hAnsi="Times New Roman"/>
          <w:sz w:val="18"/>
          <w:szCs w:val="18"/>
          <w:color w:val="auto"/>
        </w:rPr>
      </w:pPr>
    </w:p>
    <w:p>
      <w:pPr>
        <w:ind w:left="102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67" w:lineRule="exact"/>
        <w:rPr>
          <w:rFonts w:ascii="Times New Roman" w:cs="Times New Roman" w:eastAsia="Times New Roman" w:hAnsi="Times New Roman"/>
          <w:sz w:val="18"/>
          <w:szCs w:val="18"/>
          <w:color w:val="auto"/>
        </w:rPr>
      </w:pPr>
    </w:p>
    <w:p>
      <w:pPr>
        <w:ind w:left="1000" w:right="120" w:hanging="493"/>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67" w:lineRule="exact"/>
        <w:rPr>
          <w:rFonts w:ascii="Times New Roman" w:cs="Times New Roman" w:eastAsia="Times New Roman" w:hAnsi="Times New Roman"/>
          <w:sz w:val="18"/>
          <w:szCs w:val="18"/>
          <w:color w:val="auto"/>
        </w:rPr>
      </w:pPr>
    </w:p>
    <w:p>
      <w:pPr>
        <w:ind w:left="1020" w:righ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53" w:lineRule="exact"/>
        <w:rPr>
          <w:rFonts w:ascii="Times New Roman" w:cs="Times New Roman" w:eastAsia="Times New Roman" w:hAnsi="Times New Roman"/>
          <w:sz w:val="18"/>
          <w:szCs w:val="18"/>
          <w:color w:val="auto"/>
        </w:rPr>
      </w:pPr>
    </w:p>
    <w:p>
      <w:pPr>
        <w:ind w:left="1540" w:right="120" w:hanging="506"/>
        <w:spacing w:after="0" w:line="261"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1" w:lineRule="exact"/>
        <w:rPr>
          <w:rFonts w:ascii="Times New Roman" w:cs="Times New Roman" w:eastAsia="Times New Roman" w:hAnsi="Times New Roman"/>
          <w:sz w:val="18"/>
          <w:szCs w:val="18"/>
          <w:color w:val="auto"/>
        </w:rPr>
      </w:pPr>
    </w:p>
    <w:p>
      <w:pPr>
        <w:ind w:left="1540" w:hanging="506"/>
        <w:spacing w:after="0" w:line="255" w:lineRule="auto"/>
        <w:tabs>
          <w:tab w:leader="none" w:pos="15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sixty days after the initial sale, the sale of the service contract is deemed a separate contract and is deferred at the selling price and recognized ratably over the extended warranty period as the performance obligation is satisfied.</w:t>
      </w:r>
    </w:p>
    <w:p>
      <w:pPr>
        <w:spacing w:after="0" w:line="80"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the Company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10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11" w:name="page12"/>
    <w:bookmarkEnd w:id="11"/>
    <w:p>
      <w:pPr>
        <w:ind w:left="1000" w:right="40" w:hanging="493"/>
        <w:spacing w:after="0" w:line="282"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54" w:lineRule="exact"/>
        <w:rPr>
          <w:sz w:val="20"/>
          <w:szCs w:val="20"/>
          <w:color w:val="auto"/>
        </w:rPr>
      </w:pPr>
    </w:p>
    <w:p>
      <w:pPr>
        <w:ind w:left="1020" w:right="80"/>
        <w:spacing w:after="0" w:line="258" w:lineRule="auto"/>
        <w:rPr>
          <w:sz w:val="20"/>
          <w:szCs w:val="20"/>
          <w:color w:val="auto"/>
        </w:rPr>
      </w:pPr>
      <w:r>
        <w:rPr>
          <w:rFonts w:ascii="Times New Roman" w:cs="Times New Roman" w:eastAsia="Times New Roman" w:hAnsi="Times New Roman"/>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5"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160" w:firstLine="510"/>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net and Operating lease liabilities in our condensed consolidated balance sheets. As of September 26, 2020 and as of December 28, 2019, the Company was not a party to finance lease arrangements.</w:t>
      </w:r>
    </w:p>
    <w:p>
      <w:pPr>
        <w:spacing w:after="0" w:line="68"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available practical expedient, we account for the lease and non-lease components as a single lease component.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19"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54"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and nine months ended September 26, 2020, no single customer accounted for more than 10% of total revenues. For the three and nine months ended September 28, 2019, no single customer accounted for more than 10% of total revenues. As of September 26, 2020, no customer accounted for over 10% of our accounts receivable. As of December 28, 2019, one customer accounted for more than 10% of our accounts receivable, representing 11%.</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Taxes collected from customers and remitted to governmental authorities are recognized on a net basis in the accompanying condensed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Our shipping and handling costs billed to customers are included in revenues and the associated expense is recorded in cost of revenues for all periods presented.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400" w:firstLine="510"/>
        <w:spacing w:after="0" w:line="282" w:lineRule="auto"/>
        <w:rPr>
          <w:sz w:val="20"/>
          <w:szCs w:val="20"/>
          <w:color w:val="auto"/>
        </w:rPr>
      </w:pPr>
      <w:r>
        <w:rPr>
          <w:rFonts w:ascii="Times New Roman" w:cs="Times New Roman" w:eastAsia="Times New Roman" w:hAnsi="Times New Roman"/>
          <w:sz w:val="18"/>
          <w:szCs w:val="18"/>
          <w:color w:val="auto"/>
        </w:rPr>
        <w:t>Deferred revenue represents contract liabilities. Revenue related to service contracts is deferred and recognized on a straight-line basis over the period of the applicable service contract. Costs associated with these service arrangements are recognized as incurred.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the Company’s deferred revenue balance for the nine months ended September 26, 2020 and September 28, 2019 is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5"/>
          </w:tcPr>
          <w:p>
            <w:pPr>
              <w:jc w:val="right"/>
              <w:ind w:right="12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r>
      <w:tr>
        <w:trPr>
          <w:trHeight w:val="223"/>
        </w:trPr>
        <w:tc>
          <w:tcPr>
            <w:tcW w:w="3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(1,892)</w:t>
            </w: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Deductions from reserves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0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9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Non-current portion of deferred revenue</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ind w:right="760" w:firstLine="51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26, 2020 and September 28, 2019, approximately $1.0 million and $1.2 million were recognized pertaining to amounts deferred as of December 28, 2019 and December 29, 2018,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68"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the Company’s warranty liability for the nine months ended September 26, 2020 and September 28, 2019 is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5"/>
          </w:tcPr>
          <w:p>
            <w:pPr>
              <w:jc w:val="right"/>
              <w:ind w:right="12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5"/>
                <w:szCs w:val="15"/>
                <w:color w:val="auto"/>
              </w:rPr>
            </w:pPr>
          </w:p>
        </w:tc>
      </w:tr>
      <w:tr>
        <w:trPr>
          <w:trHeight w:val="223"/>
        </w:trPr>
        <w:tc>
          <w:tcPr>
            <w:tcW w:w="4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28, 2019</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Accruals for product warranties</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warranty claims</w:t>
            </w:r>
          </w:p>
        </w:tc>
        <w:tc>
          <w:tcPr>
            <w:tcW w:w="2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Adjustment to pre-existing warranties</w:t>
            </w:r>
          </w:p>
        </w:tc>
        <w:tc>
          <w:tcPr>
            <w:tcW w:w="200" w:type="dxa"/>
            <w:vAlign w:val="bottom"/>
          </w:tcPr>
          <w:p>
            <w:pPr>
              <w:spacing w:after="0"/>
              <w:rPr>
                <w:sz w:val="19"/>
                <w:szCs w:val="19"/>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(334)</w:t>
            </w: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19"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net loss or accumulated deficit.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Early adoption is permitted. The Company is currently evaluating the impact that this guidance will have on its financial position and results of operations, if 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Inventories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the Company’s inventories as of September 26, 2020 and December 28, 2019 are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28, 2019</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3,992</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5,020</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inventories</w:t>
            </w:r>
          </w:p>
        </w:tc>
        <w:tc>
          <w:tcPr>
            <w:tcW w:w="2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12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1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4. Goodwill and Intangible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value of goodwill was $0.5 million as of September 26, 2020 and December 28, 2019.</w:t>
      </w:r>
    </w:p>
    <w:p>
      <w:pPr>
        <w:spacing w:after="0" w:line="11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2020 and determined that its goodwill was not impaired. As of September 26, 2020, the Company had not identified any factors that indicated there was an impairment of its goodwill and determined that no additional impairment analysis was then required.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components of gross and net intangible asset balances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 2019</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420" w:type="dxa"/>
            <w:vAlign w:val="bottom"/>
          </w:tcPr>
          <w:p>
            <w:pPr>
              <w:spacing w:after="0"/>
              <w:rPr>
                <w:sz w:val="11"/>
                <w:szCs w:val="11"/>
                <w:color w:val="auto"/>
              </w:rPr>
            </w:pP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80" w:type="dxa"/>
            <w:vAlign w:val="bottom"/>
          </w:tcPr>
          <w:p>
            <w:pPr>
              <w:jc w:val="center"/>
              <w:ind w:left="12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9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6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8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8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 Life</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72</w:t>
            </w:r>
          </w:p>
        </w:tc>
        <w:tc>
          <w:tcPr>
            <w:tcW w:w="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4.50 Years</w:t>
            </w: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6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nine months ended September 26, 2020 and September 28, 2019, amortization expense totaled $12 thousand for each period.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amortization of customer relationships was charged to sales and marketing expense. Future estimated amortization expense (in thousands):</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2020 (three months)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9" w:lineRule="exact"/>
        <w:rPr>
          <w:sz w:val="20"/>
          <w:szCs w:val="20"/>
          <w:color w:val="auto"/>
        </w:rPr>
      </w:pPr>
    </w:p>
    <w:p>
      <w:pPr>
        <w:ind w:left="1000" w:hanging="493"/>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1000" w:right="60" w:hanging="493"/>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ind w:right="880" w:firstLine="51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54"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assets and liabilities, including cash and cash equivalents, accounts receivable, accounts payable, and accrued expenses as of September 26, 2020 and December 28, 2019, approximate fair value because of the short maturity of these instruments. The carrying amount of the Company’s PPP loan as of September 26, 2020, approximates its fair value based on the specified interest rate.</w:t>
      </w:r>
    </w:p>
    <w:p>
      <w:pPr>
        <w:spacing w:after="0" w:line="68"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As of September 26, 2020 and December 28, 2019, financial assets measured and recognized at fair value on a recurring basis and classified under the appropriate level of the fair value hierarchy as described above were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As of September 26, 2020</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28, 2019</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3"/>
                <w:szCs w:val="13"/>
                <w:color w:val="auto"/>
              </w:rPr>
            </w:pPr>
          </w:p>
        </w:tc>
        <w:tc>
          <w:tcPr>
            <w:tcW w:w="6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108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700" w:type="dxa"/>
            <w:vAlign w:val="bottom"/>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860" w:type="dxa"/>
            <w:vAlign w:val="bottom"/>
            <w:gridSpan w:val="2"/>
          </w:tcPr>
          <w:p>
            <w:pPr>
              <w:jc w:val="right"/>
              <w:ind w:right="48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PPP Loan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On April 23, 2020, the Company qualified for and received a loan pursuant to the Paycheck Protection Program, a program implemented by the U.S. Small Business Administration under the Coronavirus Aid, Relief, and Economic Security Act, from a qualified lender (the “PPP Lender”), for an aggregate principal amount of approximately $2.5 million (the "PPP Loan"). The PPP Loan bears interest at a fixed rate of 1.0% per annum, with the first six months of interest deferred, has a term of two years, and is unsecured and guaranteed by the U.S. Small Business Administration.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On September 22, 2020, the Company submitted the PPP Loan forgiveness application for the entire amount of approximately $2.5 million. The accrued interest is $10 thousand as of September 26, 2020. The Company cannot provide assurance that principal and interest amounts under the PPP Loan will be forgiven. To the extent that all or part of the PPP Loan is not forgiven, the Company will be required to pay interest on the PPP Loan at a rate of 1.0% per annum, and starting in November 2020 principal and interest payments will be required through the maturity date in April 2022. The terms of the PPP Loan provide for customary events of default including, among other things, payment defaults, breach of representations, and insolvency events.</w:t>
      </w:r>
    </w:p>
    <w:p>
      <w:pPr>
        <w:spacing w:after="0" w:line="82" w:lineRule="exact"/>
        <w:rPr>
          <w:sz w:val="20"/>
          <w:szCs w:val="20"/>
          <w:color w:val="auto"/>
        </w:rPr>
      </w:pPr>
    </w:p>
    <w:p>
      <w:pPr>
        <w:jc w:val="both"/>
        <w:ind w:right="540" w:firstLine="510"/>
        <w:spacing w:after="0" w:line="261" w:lineRule="auto"/>
        <w:rPr>
          <w:sz w:val="20"/>
          <w:szCs w:val="20"/>
          <w:color w:val="auto"/>
        </w:rPr>
      </w:pPr>
      <w:r>
        <w:rPr>
          <w:rFonts w:ascii="Times New Roman" w:cs="Times New Roman" w:eastAsia="Times New Roman" w:hAnsi="Times New Roman"/>
          <w:sz w:val="18"/>
          <w:szCs w:val="18"/>
          <w:color w:val="auto"/>
        </w:rPr>
        <w:t>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and receive an adverse outcome in such an audit, we could be required to return the full amount of the SBA Loan and may potentially be subject to civil and criminal fines and penalties.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119" w:lineRule="exact"/>
        <w:rPr>
          <w:sz w:val="20"/>
          <w:szCs w:val="20"/>
          <w:color w:val="auto"/>
        </w:rPr>
      </w:pPr>
    </w:p>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The COVID-19 pandemic has created and may continue to create significant uncertainty in global markets, which has disrupted and harmed, and may continue to disrupt and harm, the Company's business, financial condition, and results of operations. Beginning in the middle of March 2020, the pandemic and responses thereto contributed to a decrease in the demand for our products, primarily due to most hospitals ceasing elective surgical procedures. This impact continued through the third quarter of 2020.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 Commitments.</w:t>
      </w:r>
    </w:p>
    <w:p>
      <w:pPr>
        <w:spacing w:after="0" w:line="11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Our operating lease commitments consist of facility and office equipment leases. Operating lease expenses for the nine months ended September 26, 2020 and September 28, 2019 were approximately $1.0 million during each period. The weighted average discount rate used in calculating the present value of lease payments was 5.4%. As of September 26, 2020, the weighted average remaining lease term for our operating leases was 1.4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September 26, 2020 (in thousands):</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3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0" w:type="dxa"/>
            <w:vAlign w:val="bottom"/>
          </w:tcPr>
          <w:p>
            <w:pPr>
              <w:spacing w:after="0"/>
              <w:rPr>
                <w:sz w:val="1"/>
                <w:szCs w:val="1"/>
                <w:color w:val="auto"/>
              </w:rPr>
            </w:pPr>
          </w:p>
        </w:tc>
      </w:tr>
      <w:tr>
        <w:trPr>
          <w:trHeight w:val="223"/>
        </w:trPr>
        <w:tc>
          <w:tcPr>
            <w:tcW w:w="72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2020 (3 months)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ind w:right="520" w:firstLine="510"/>
        <w:spacing w:after="0" w:line="266" w:lineRule="auto"/>
        <w:rPr>
          <w:sz w:val="20"/>
          <w:szCs w:val="20"/>
          <w:color w:val="auto"/>
        </w:rPr>
      </w:pPr>
      <w:r>
        <w:rPr>
          <w:rFonts w:ascii="Times New Roman" w:cs="Times New Roman" w:eastAsia="Times New Roman" w:hAnsi="Times New Roman"/>
          <w:sz w:val="18"/>
          <w:szCs w:val="18"/>
          <w:color w:val="auto"/>
        </w:rPr>
        <w:t>Our purchase commitments consist primarily of non-cancellable purchase commitments with vendors to manufacture certain components and ophthalmic instrumentation. As of September 26, 2020, our future minimum payments through fiscal year 2021 for our purchase commitments were approximately $9.9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Indemnities.</w:t>
      </w:r>
    </w:p>
    <w:p>
      <w:pPr>
        <w:spacing w:after="0" w:line="119"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79"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95" w:lineRule="exact"/>
        <w:rPr>
          <w:sz w:val="20"/>
          <w:szCs w:val="20"/>
          <w:color w:val="auto"/>
        </w:rPr>
      </w:pPr>
    </w:p>
    <w:p>
      <w:pPr>
        <w:ind w:right="6940" w:firstLine="8"/>
        <w:spacing w:after="0" w:line="378" w:lineRule="auto"/>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and Stock-Based Compensation Stock-Based Compensation</w:t>
      </w: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granted to employees and directors, including employees stock option awards, restricted stock and restricted stock units in accordance with ASC 718</w:t>
      </w:r>
      <w:r>
        <w:rPr>
          <w:rFonts w:ascii="Times New Roman" w:cs="Times New Roman" w:eastAsia="Times New Roman" w:hAnsi="Times New Roman"/>
          <w:sz w:val="18"/>
          <w:szCs w:val="18"/>
          <w:i w:val="1"/>
          <w:iCs w:val="1"/>
          <w:color w:val="auto"/>
        </w:rPr>
        <w:t>, “Compensation – Stock Compensation”</w:t>
      </w:r>
      <w:r>
        <w:rPr>
          <w:rFonts w:ascii="Times New Roman" w:cs="Times New Roman" w:eastAsia="Times New Roman" w:hAnsi="Times New Roman"/>
          <w:sz w:val="18"/>
          <w:szCs w:val="18"/>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72"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Company values options using the Black-Scholes option pricing model. Time-based restricted stock units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w:t>
      </w:r>
    </w:p>
    <w:p>
      <w:pPr>
        <w:spacing w:after="0" w:line="119"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terms of awards granted during the nine months ended September 26, 2020 were consistent with those described in the consolidated financial statements included in our Annual Report on Form 10-K for the year ended December 28, 2019.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expenses included in the condensed consolidated statements of operations for the three and nine months ended September 26, 2020 and September 28, 2019:</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gridSpan w:val="4"/>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8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5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Borders>
              <w:top w:val="single" w:sz="8" w:color="auto"/>
            </w:tcBorders>
            <w:gridSpan w:val="3"/>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00" w:type="dxa"/>
            <w:vAlign w:val="bottom"/>
          </w:tcPr>
          <w:p>
            <w:pPr>
              <w:spacing w:after="0"/>
              <w:rPr>
                <w:sz w:val="11"/>
                <w:szCs w:val="11"/>
                <w:color w:val="auto"/>
              </w:rPr>
            </w:pPr>
          </w:p>
        </w:tc>
        <w:tc>
          <w:tcPr>
            <w:tcW w:w="1180" w:type="dxa"/>
            <w:vAlign w:val="bottom"/>
            <w:tcBorders>
              <w:top w:val="single" w:sz="8" w:color="auto"/>
            </w:tcBorders>
            <w:gridSpan w:val="3"/>
          </w:tcPr>
          <w:p>
            <w:pPr>
              <w:jc w:val="right"/>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8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top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the nine months ended September 26, 2020 and September 28, 2019.</w:t>
      </w:r>
    </w:p>
    <w:p>
      <w:pPr>
        <w:spacing w:after="0" w:line="117"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Occasionally, the Company will grant stock-based instruments to non-employees. During the nine months ended September 26, 2020 and September 28, 2019, the amount of stock-based compensation related to non-employee options and RSUs was not material.</w:t>
      </w:r>
    </w:p>
    <w:p>
      <w:pPr>
        <w:spacing w:after="0" w:line="54" w:lineRule="exact"/>
        <w:rPr>
          <w:sz w:val="20"/>
          <w:szCs w:val="20"/>
          <w:color w:val="auto"/>
        </w:rPr>
      </w:pPr>
    </w:p>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As of September 26, 2020, there was $2.6 million of total unrecognized compensation cost, net of expected forfeitures, related to non-vested stock-based compensation arrangements. The cost is expected to be recognized over a weighted average period of 2.3 years.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Stock Options.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options information during the nine months ended September 26, 2020:</w:t>
      </w: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2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6"/>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6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200" w:type="dxa"/>
            <w:vAlign w:val="bottom"/>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28, 2019</w:t>
            </w: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1,383,552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6"/>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6.11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519,450</w:t>
            </w:r>
          </w:p>
        </w:tc>
        <w:tc>
          <w:tcPr>
            <w:tcW w:w="140" w:type="dxa"/>
            <w:vAlign w:val="bottom"/>
          </w:tcPr>
          <w:p>
            <w:pPr>
              <w:spacing w:after="0"/>
              <w:rPr>
                <w:sz w:val="19"/>
                <w:szCs w:val="19"/>
                <w:color w:val="auto"/>
              </w:rPr>
            </w:pPr>
          </w:p>
        </w:tc>
        <w:tc>
          <w:tcPr>
            <w:tcW w:w="1280" w:type="dxa"/>
            <w:vAlign w:val="bottom"/>
            <w:gridSpan w:val="2"/>
          </w:tcPr>
          <w:p>
            <w:pPr>
              <w:jc w:val="right"/>
              <w:ind w:right="104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04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Canceled or forfeited</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(225,941)</w:t>
            </w:r>
          </w:p>
        </w:tc>
        <w:tc>
          <w:tcPr>
            <w:tcW w:w="1280" w:type="dxa"/>
            <w:vAlign w:val="bottom"/>
            <w:gridSpan w:val="2"/>
          </w:tcPr>
          <w:p>
            <w:pPr>
              <w:jc w:val="right"/>
              <w:ind w:right="104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September 26, 2020</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1,677,061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46"/>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4.79</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the options granted was $1.06 and $1.75 per share for the nine months ended September 26, 2020 and September 28, 2019, respectively.</w:t>
      </w:r>
    </w:p>
    <w:p>
      <w:pPr>
        <w:spacing w:after="0" w:line="54" w:lineRule="exact"/>
        <w:rPr>
          <w:sz w:val="20"/>
          <w:szCs w:val="20"/>
          <w:color w:val="auto"/>
        </w:rPr>
      </w:pPr>
    </w:p>
    <w:p>
      <w:pPr>
        <w:ind w:right="160" w:firstLine="51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option-pricing model to estimate the fair value of stock-based awards (options) with the following weighted average assumptions: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60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50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31"/>
        </w:trPr>
        <w:tc>
          <w:tcPr>
            <w:tcW w:w="500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280" w:type="dxa"/>
            <w:vAlign w:val="bottom"/>
          </w:tcPr>
          <w:p>
            <w:pPr>
              <w:spacing w:after="0"/>
              <w:rPr>
                <w:sz w:val="11"/>
                <w:szCs w:val="11"/>
                <w:color w:val="auto"/>
              </w:rPr>
            </w:pPr>
          </w:p>
        </w:tc>
        <w:tc>
          <w:tcPr>
            <w:tcW w:w="1300" w:type="dxa"/>
            <w:vAlign w:val="bottom"/>
            <w:tcBorders>
              <w:top w:val="single" w:sz="8" w:color="auto"/>
            </w:tcBorders>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80" w:type="dxa"/>
            <w:vAlign w:val="bottom"/>
          </w:tcPr>
          <w:p>
            <w:pPr>
              <w:spacing w:after="0"/>
              <w:rPr>
                <w:sz w:val="11"/>
                <w:szCs w:val="11"/>
                <w:color w:val="auto"/>
              </w:rPr>
            </w:pPr>
          </w:p>
        </w:tc>
      </w:tr>
      <w:tr>
        <w:trPr>
          <w:trHeight w:val="173"/>
        </w:trPr>
        <w:tc>
          <w:tcPr>
            <w:tcW w:w="50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5"/>
                <w:szCs w:val="15"/>
                <w:color w:val="auto"/>
              </w:rPr>
            </w:pPr>
          </w:p>
        </w:tc>
      </w:tr>
      <w:tr>
        <w:trPr>
          <w:trHeight w:val="223"/>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risk free interest rate</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0.22%</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1.58%</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0.25%</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4.55 years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4.55 years</w:t>
            </w: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4.55 years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4.55 years</w:t>
            </w: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Average volatility</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bl>
    <w:p>
      <w:pPr>
        <w:spacing w:after="0" w:line="220" w:lineRule="exact"/>
        <w:rPr>
          <w:sz w:val="20"/>
          <w:szCs w:val="20"/>
          <w:color w:val="auto"/>
        </w:rPr>
      </w:pPr>
    </w:p>
    <w:p>
      <w:pPr>
        <w:ind w:right="180" w:firstLine="510"/>
        <w:spacing w:after="0" w:line="282" w:lineRule="auto"/>
        <w:rPr>
          <w:sz w:val="20"/>
          <w:szCs w:val="20"/>
          <w:color w:val="auto"/>
        </w:rPr>
      </w:pPr>
      <w:r>
        <w:rPr>
          <w:rFonts w:ascii="Times New Roman" w:cs="Times New Roman" w:eastAsia="Times New Roman" w:hAnsi="Times New Roman"/>
          <w:sz w:val="18"/>
          <w:szCs w:val="18"/>
          <w:color w:val="auto"/>
        </w:rPr>
        <w:t>Performance stock options granted with market conditions are valued using a Monte Carlo simulation model in combination with a Black-Scholes option pricing model.</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7" w:name="page18"/>
    <w:bookmarkEnd w:id="17"/>
    <w:p>
      <w:pPr>
        <w:ind w:firstLine="510"/>
        <w:spacing w:after="0" w:line="254" w:lineRule="auto"/>
        <w:rPr>
          <w:sz w:val="20"/>
          <w:szCs w:val="20"/>
          <w:color w:val="auto"/>
        </w:rPr>
      </w:pPr>
      <w:r>
        <w:rPr>
          <w:rFonts w:ascii="Times New Roman" w:cs="Times New Roman" w:eastAsia="Times New Roman" w:hAnsi="Times New Roman"/>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stock options outstanding, vested, expected to vest, and exercisable as of September 26, 2020 is summarized below:</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4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34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outstanding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1,677,061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1,444,890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558,959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pre-tax intrinsic value, based on the Company’s closing price as of September 26, 2020, that would have been received by option holders had all option holders exercised their stock options as of that date. This amount changes based on the fair market value of the Company’s common stock. The total intrinsic value of options exercised for the nine months ended September 26, 2020 and September 28, 2019 was approximately $0 thousand each period.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Restricted Stock Units and Awards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Information regarding the restricted stock units (“RSUs”) activity for the nine months ended September 26, 2020 is summarized below:</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Outstanding as of December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-136525</wp:posOffset>
            </wp:positionV>
            <wp:extent cx="42773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Restricted stock units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Restricted stock units released</w:t>
      </w:r>
    </w:p>
    <w:p>
      <w:pPr>
        <w:spacing w:after="0" w:line="2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Restricted stock units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1" w:lineRule="exact"/>
        <w:rPr>
          <w:sz w:val="20"/>
          <w:szCs w:val="20"/>
          <w:color w:val="auto"/>
        </w:rPr>
      </w:pPr>
    </w:p>
    <w:p>
      <w:pPr>
        <w:jc w:val="right"/>
        <w:ind w:right="2300"/>
        <w:spacing w:after="0"/>
        <w:rPr>
          <w:sz w:val="20"/>
          <w:szCs w:val="20"/>
          <w:color w:val="auto"/>
        </w:rPr>
      </w:pPr>
      <w:r>
        <w:rPr>
          <w:rFonts w:ascii="Times New Roman" w:cs="Times New Roman" w:eastAsia="Times New Roman" w:hAnsi="Times New Roman"/>
          <w:sz w:val="18"/>
          <w:szCs w:val="18"/>
          <w:color w:val="auto"/>
        </w:rPr>
        <w:t>Outstanding as of September 26, 2020</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Shares</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411,133</w:t>
      </w:r>
    </w:p>
    <w:p>
      <w:pPr>
        <w:spacing w:after="0" w:line="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371,877</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(125,914)</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(121,535)</w:t>
      </w:r>
    </w:p>
    <w:p>
      <w:pPr>
        <w:spacing w:after="0" w:line="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535,561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34290</wp:posOffset>
            </wp:positionV>
            <wp:extent cx="72009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817" w:lineRule="exact"/>
        <w:rPr>
          <w:sz w:val="20"/>
          <w:szCs w:val="20"/>
          <w:color w:val="auto"/>
        </w:rPr>
      </w:pPr>
    </w:p>
    <w:p>
      <w:pPr>
        <w:sectPr>
          <w:pgSz w:w="11900" w:h="16838" w:orient="portrait"/>
          <w:cols w:equalWidth="0" w:num="2">
            <w:col w:w="7320" w:space="720"/>
            <w:col w:w="3200"/>
          </w:cols>
          <w:pgMar w:left="320" w:top="229" w:right="339" w:bottom="1440" w:gutter="0" w:footer="0" w:header="0"/>
          <w:type w:val="continuous"/>
        </w:sectPr>
      </w:pPr>
    </w:p>
    <w:p>
      <w:pPr>
        <w:ind w:right="100" w:firstLine="510"/>
        <w:spacing w:after="0" w:line="263" w:lineRule="auto"/>
        <w:rPr>
          <w:sz w:val="20"/>
          <w:szCs w:val="20"/>
          <w:color w:val="auto"/>
        </w:rPr>
      </w:pPr>
      <w:r>
        <w:rPr>
          <w:rFonts w:ascii="Times New Roman" w:cs="Times New Roman" w:eastAsia="Times New Roman" w:hAnsi="Times New Roman"/>
          <w:sz w:val="18"/>
          <w:szCs w:val="18"/>
          <w:color w:val="auto"/>
        </w:rPr>
        <w:t xml:space="preserve">The Company calculates its interim tax provision in accordance with the provisions of ASC 740-270, </w:t>
      </w:r>
      <w:r>
        <w:rPr>
          <w:rFonts w:ascii="Times New Roman" w:cs="Times New Roman" w:eastAsia="Times New Roman" w:hAnsi="Times New Roman"/>
          <w:sz w:val="18"/>
          <w:szCs w:val="18"/>
          <w:i w:val="1"/>
          <w:iCs w:val="1"/>
          <w:color w:val="auto"/>
        </w:rPr>
        <w:t>Income Taxes; Interim Reporting</w:t>
      </w:r>
      <w:r>
        <w:rPr>
          <w:rFonts w:ascii="Times New Roman" w:cs="Times New Roman" w:eastAsia="Times New Roman" w:hAnsi="Times New Roman"/>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$20 thousand and $22 thousand for the nine months ended September 26, 2020 and September 28, 2019,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Income Taxes.</w:t>
      </w:r>
    </w:p>
    <w:p>
      <w:pPr>
        <w:spacing w:after="0" w:line="117"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third quarter of fiscal year 2020,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ind w:right="120" w:firstLine="510"/>
        <w:spacing w:after="0" w:line="312" w:lineRule="auto"/>
        <w:rPr>
          <w:sz w:val="20"/>
          <w:szCs w:val="20"/>
          <w:color w:val="auto"/>
        </w:rPr>
      </w:pPr>
      <w:r>
        <w:rPr>
          <w:rFonts w:ascii="Times New Roman" w:cs="Times New Roman" w:eastAsia="Times New Roman" w:hAnsi="Times New Roman"/>
          <w:sz w:val="17"/>
          <w:szCs w:val="17"/>
          <w:color w:val="auto"/>
        </w:rPr>
        <w:t>The Company accounts for its uncertain tax positions in accordance with ASC 740. As of December 28, 2019, the Company had $1.2 million of unrecognized tax benefits, none of the unrecognized tax benefits would result in a change in the Company’s effective tax rate if recognized in future years.</w:t>
      </w:r>
    </w:p>
    <w:p>
      <w:pPr>
        <w:spacing w:after="0" w:line="32"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other uncertain tax positions that could result in significant additional payments, accruals, or other material deviation in this estimate during the fiscal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CARES Act.</w:t>
      </w:r>
    </w:p>
    <w:p>
      <w:pPr>
        <w:spacing w:after="0" w:line="119"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(the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These provisions are not expected to have a material effect on the Company’s consolidated financial statements. The Company obtained a PPP Loan. A portion, or all, of the PPP Loan may be forgiven. The Company cannot provide assurance that principal and interest amounts under the PPP Loan will be forgiven. If the PPP Loan is forgiven, the Company may qualify to not include the debt forgiveness income as taxable income. Given the Company has a full valuation allowance, the impact of the PPP Loan is not expected to be material.</w:t>
      </w:r>
    </w:p>
    <w:p>
      <w:pPr>
        <w:spacing w:after="0" w:line="81"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Computation of Basic and Diluted Net Loss Per Common Share</w:t>
      </w:r>
    </w:p>
    <w:p>
      <w:pPr>
        <w:spacing w:after="0" w:line="12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restricted stock units and awards and are calculated under the treasury stock method. Common stock equivalent shares from unexercised stock options, and unvested restricted stock units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75"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26, 2020 and September 28, 2019, potential shares from stock options and RSUs totaling 1,392,132 and 1,182,083 shares, respectively, were excluded from the computation of diluted weighted average shares outstanding. For the nine months ended September 26, 2020 and September 28, 2019, potential shares from stock options and RSUs totaling 1,292,871 and 1,144,817 shares, respectively, were excluded from the computation of diluted weighted average shares outstanding.</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44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78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Borders>
              <w:top w:val="single" w:sz="8" w:color="auto"/>
            </w:tcBorders>
            <w:gridSpan w:val="3"/>
          </w:tcPr>
          <w:p>
            <w:pPr>
              <w:jc w:val="right"/>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460" w:type="dxa"/>
            <w:vAlign w:val="bottom"/>
            <w:tcBorders>
              <w:bottom w:val="single" w:sz="8" w:color="CFF0FC"/>
            </w:tcBorders>
            <w:vMerge w:val="continue"/>
          </w:tcPr>
          <w:p>
            <w:pPr>
              <w:spacing w:after="0"/>
              <w:rPr>
                <w:sz w:val="15"/>
                <w:szCs w:val="15"/>
                <w:color w:val="auto"/>
              </w:rPr>
            </w:pPr>
          </w:p>
        </w:tc>
        <w:tc>
          <w:tcPr>
            <w:tcW w:w="7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(1,785)</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(6,150)</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(7,252)</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7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(basic)</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 average shares of common stock (diluted)</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4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0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(0.53)</w:t>
            </w:r>
          </w:p>
        </w:tc>
        <w:tc>
          <w:tcPr>
            <w:tcW w:w="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6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7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11. Business Segments</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information shown by product group is as follows: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60" w:type="dxa"/>
            <w:vAlign w:val="bottom"/>
          </w:tcPr>
          <w:p>
            <w:pPr>
              <w:spacing w:after="0"/>
              <w:rPr>
                <w:sz w:val="11"/>
                <w:szCs w:val="11"/>
                <w:color w:val="auto"/>
              </w:rPr>
            </w:pPr>
          </w:p>
        </w:tc>
        <w:tc>
          <w:tcPr>
            <w:tcW w:w="124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20" w:type="dxa"/>
            <w:vAlign w:val="bottom"/>
          </w:tcPr>
          <w:p>
            <w:pPr>
              <w:spacing w:after="0"/>
              <w:rPr>
                <w:sz w:val="11"/>
                <w:szCs w:val="11"/>
                <w:color w:val="auto"/>
              </w:rPr>
            </w:pPr>
          </w:p>
        </w:tc>
        <w:tc>
          <w:tcPr>
            <w:tcW w:w="122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100" w:type="dxa"/>
            <w:vAlign w:val="bottom"/>
            <w:tcBorders>
              <w:bottom w:val="single" w:sz="8" w:color="CFF0FC"/>
            </w:tcBorders>
            <w:vMerge w:val="continue"/>
          </w:tcPr>
          <w:p>
            <w:pPr>
              <w:spacing w:after="0"/>
              <w:rPr>
                <w:sz w:val="15"/>
                <w:szCs w:val="15"/>
                <w:color w:val="auto"/>
              </w:rPr>
            </w:pPr>
          </w:p>
        </w:tc>
        <w:tc>
          <w:tcPr>
            <w:tcW w:w="20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Cyclo G6</w:t>
            </w:r>
          </w:p>
        </w:tc>
        <w:tc>
          <w:tcPr>
            <w:tcW w:w="20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2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Other(1)</w:t>
            </w:r>
          </w:p>
        </w:tc>
        <w:tc>
          <w:tcPr>
            <w:tcW w:w="20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3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06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320" w:type="dxa"/>
            <w:vAlign w:val="bottom"/>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860" w:hanging="5"/>
        <w:spacing w:after="0" w:line="263" w:lineRule="auto"/>
        <w:tabs>
          <w:tab w:leader="none" w:pos="8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 contract revenues of $302 and $437 and $929 and $1,041 recognized during the three and nine months ended September 26, 2020 and September 28, 2019, respectively. Other also includes revenues from paid service, royalty, freight and legacy G probes.</w:t>
      </w:r>
    </w:p>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 information shown by geographic region, based on the sales destination, is as follows: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4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3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60" w:type="dxa"/>
            <w:vAlign w:val="bottom"/>
          </w:tcPr>
          <w:p>
            <w:pPr>
              <w:spacing w:after="0"/>
              <w:rPr>
                <w:sz w:val="11"/>
                <w:szCs w:val="11"/>
                <w:color w:val="auto"/>
              </w:rPr>
            </w:pPr>
          </w:p>
        </w:tc>
        <w:tc>
          <w:tcPr>
            <w:tcW w:w="124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320" w:type="dxa"/>
            <w:vAlign w:val="bottom"/>
          </w:tcPr>
          <w:p>
            <w:pPr>
              <w:spacing w:after="0"/>
              <w:rPr>
                <w:sz w:val="11"/>
                <w:szCs w:val="11"/>
                <w:color w:val="auto"/>
              </w:rPr>
            </w:pPr>
          </w:p>
        </w:tc>
        <w:tc>
          <w:tcPr>
            <w:tcW w:w="1220" w:type="dxa"/>
            <w:vAlign w:val="bottom"/>
            <w:tcBorders>
              <w:top w:val="single" w:sz="8" w:color="auto"/>
            </w:tcBorders>
            <w:gridSpan w:val="3"/>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2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 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200" w:type="dxa"/>
            <w:vAlign w:val="bottom"/>
            <w:tcBorders>
              <w:bottom w:val="single" w:sz="8" w:color="CFF0FC"/>
            </w:tcBorders>
            <w:vMerge w:val="continue"/>
          </w:tcPr>
          <w:p>
            <w:pPr>
              <w:spacing w:after="0"/>
              <w:rPr>
                <w:sz w:val="15"/>
                <w:szCs w:val="15"/>
                <w:color w:val="auto"/>
              </w:rPr>
            </w:pPr>
          </w:p>
        </w:tc>
        <w:tc>
          <w:tcPr>
            <w:tcW w:w="196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 of Americas</w:t>
            </w:r>
          </w:p>
        </w:tc>
        <w:tc>
          <w:tcPr>
            <w:tcW w:w="1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Asia/Pacific Rim</w:t>
            </w:r>
          </w:p>
        </w:tc>
        <w:tc>
          <w:tcPr>
            <w:tcW w:w="19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3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3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Revenues are attributed to countries based on the location of end customers.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than the United States, no individual country accounted for more than 10% of the Company’s revenues during the three and nine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26, 2020.  Other than the United States, no individual country accounted for more than 10% of the Company’s revenues during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nine months ended September 28, 2019. The United States accounted for 59.9% and 54.7% of revenues for the three months ended September 26, 2020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September 28, 2019, respectively. International sales accounted for 40.1% and 45.3% of revenues for the three months ended September 26, 2020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2019, respectively. For the nine months ended September 26, 2020 and September 28, 2019, the United States accounted for 53.6%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51.6% of revenues, respectively. For the nine months ended September 26, 2020 and September 28, 2019, international sales accounted for 46.4%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48.4% of revenues,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right="3800"/>
        <w:spacing w:after="0" w:line="377"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firstLine="510"/>
        <w:spacing w:after="0" w:line="261" w:lineRule="auto"/>
        <w:rPr>
          <w:sz w:val="20"/>
          <w:szCs w:val="20"/>
          <w:color w:val="auto"/>
        </w:rPr>
      </w:pPr>
      <w:r>
        <w:rPr>
          <w:rFonts w:ascii="Times New Roman" w:cs="Times New Roman" w:eastAsia="Times New Roman" w:hAnsi="Times New Roman"/>
          <w:sz w:val="18"/>
          <w:szCs w:val="18"/>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laser consoles consist of the following product lines:</w:t>
      </w:r>
    </w:p>
    <w:p>
      <w:pPr>
        <w:spacing w:after="0" w:line="113" w:lineRule="exact"/>
        <w:rPr>
          <w:sz w:val="20"/>
          <w:szCs w:val="20"/>
          <w:color w:val="auto"/>
        </w:rPr>
      </w:pPr>
    </w:p>
    <w:p>
      <w:pPr>
        <w:ind w:left="1000" w:hanging="493"/>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This product line includes our Cyclo G6 laser system used for the treatment of glaucoma;</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 retina product line includes our IQ 532 and IQ 577 laser photocoagulation systems, which are used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 of diabetic macular edema and other retinal diseases; and</w:t>
      </w:r>
    </w:p>
    <w:p>
      <w:pPr>
        <w:spacing w:after="0" w:line="46" w:lineRule="exact"/>
        <w:rPr>
          <w:rFonts w:ascii="Times New Roman" w:cs="Times New Roman" w:eastAsia="Times New Roman" w:hAnsi="Times New Roman"/>
          <w:sz w:val="18"/>
          <w:szCs w:val="18"/>
          <w:color w:val="auto"/>
        </w:rPr>
      </w:pPr>
    </w:p>
    <w:p>
      <w:pPr>
        <w:ind w:left="1000" w:right="100" w:hanging="493"/>
        <w:spacing w:after="0" w:line="26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 retina line of products includes our OcuLight TX, OcuLight SL, OcuLight SLx, OcuLight GL and OcuLight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GLx laser photocoagulation systems. These systems are often used in vitrectomy procedures, which are used to treat proliferative diabetic retinopathy, macular holes, retinal tears and detachments.</w:t>
      </w:r>
    </w:p>
    <w:p>
      <w:pPr>
        <w:spacing w:after="0" w:line="67" w:lineRule="exact"/>
        <w:rPr>
          <w:sz w:val="20"/>
          <w:szCs w:val="20"/>
          <w:color w:val="auto"/>
        </w:rPr>
      </w:pPr>
    </w:p>
    <w:p>
      <w:pPr>
        <w:ind w:right="240" w:firstLine="510"/>
        <w:spacing w:after="0" w:line="312" w:lineRule="auto"/>
        <w:rPr>
          <w:sz w:val="20"/>
          <w:szCs w:val="20"/>
          <w:color w:val="auto"/>
        </w:rPr>
      </w:pPr>
      <w:r>
        <w:rPr>
          <w:rFonts w:ascii="Times New Roman" w:cs="Times New Roman" w:eastAsia="Times New Roman" w:hAnsi="Times New Roman"/>
          <w:sz w:val="17"/>
          <w:szCs w:val="17"/>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28" w:lineRule="exact"/>
        <w:rPr>
          <w:sz w:val="20"/>
          <w:szCs w:val="20"/>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MicroPulse P3 (“MP3”) probe and G-Probe;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00" w:firstLine="510"/>
        <w:spacing w:after="0" w:line="266"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68"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Our products are sold in the United States and Germany predominantly through a direct sales force and internationally (aside from Germany) primarily through independent distributors.</w:t>
      </w:r>
    </w:p>
    <w:p>
      <w:pPr>
        <w:spacing w:after="0" w:line="54"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spacing w:after="0" w:line="75"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68"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117" w:lineRule="exact"/>
        <w:rPr>
          <w:sz w:val="20"/>
          <w:szCs w:val="20"/>
          <w:color w:val="auto"/>
        </w:rPr>
      </w:pPr>
    </w:p>
    <w:p>
      <w:pPr>
        <w:ind w:right="12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to our Business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outbreak of the COVID-19 has been declared a pandemic by the World Health Organization and continues to spread globally. The spread of COVID-19 has caused public health officials to recommend, and governments to enact, precautions to mitigate the spread of the virus, including travel restrictions and bans, extensive social distancing guidelines and issuing a “shelter-in-place” order in many regions of the world. The pandemic and these related responses have caused, and are expected to continue to cause a global slowdown of economic activity (including the decrease in demand for a broad variety of goods and services), disruptions in global supply chains and significant volatility and disruption of financial markets. We have adopted several measures in response to the COVID-19 outbreak including instructing employees to work from home while under shelter-in-place orders, slowing our manufacturing operations, and restricting non-critical business travel by our employees. Furthermore, we cannot be certain that these actions will mitigate some or all of the negative effects of the pandemic on our business. The extent of the negative effects of COVID-19 on our financial condition or results of operations remains uncertain. Any actual effects on our financial condition or results of operations may differ from any estimates reflected in our financial statements, and such effects may not be fully reflected in our financial condition or results of operations until future periods, if at all.</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ind w:right="120" w:firstLine="510"/>
        <w:spacing w:after="0" w:line="255" w:lineRule="auto"/>
        <w:rPr>
          <w:sz w:val="20"/>
          <w:szCs w:val="20"/>
          <w:color w:val="auto"/>
        </w:rPr>
      </w:pPr>
      <w:r>
        <w:rPr>
          <w:rFonts w:ascii="Times New Roman" w:cs="Times New Roman" w:eastAsia="Times New Roman" w:hAnsi="Times New Roman"/>
          <w:sz w:val="18"/>
          <w:szCs w:val="18"/>
          <w:color w:val="auto"/>
        </w:rPr>
        <w:t>The Company has been deemed an essential business and therefore, has continued to operate in a more limited capacity during the pandemic. In April and May,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The Company will continue to actively monitor the situation and may take further actions altering our business operations that we determine are in the best interests of our employees, customers, communities, business partners, suppliers, and shareholders, or as required by federal, state, or local authorities. It is not clear what the potential effects any such alterations or modifications may have on our business, including the effects on the Company's customers, employees, and prospects, or on our financial results for the remainder of fiscal year 2020.</w:t>
      </w:r>
    </w:p>
    <w:p>
      <w:pPr>
        <w:spacing w:after="0" w:line="8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the third quarter of 2020, revenue decreased approximately 17% as compared to the same period in 2019. This decrease was primarily attributed to the decrease in surgical elective procedures using our products, in part caused by limitations on the availability of such procedures and hospitals’ capacities to provide them and delays in capital purchases caused by the general uncertainty in the near term business environment. The extent to which our operations will be impacted by the outbreak will depend largely on future developments, which are highly uncertain and cannot be accurately predicted, including new information which may emerge concerning the severity of the outbreak and actions by government authorities, hospitals and private businesses to contain the outbreak or recover from its impact, among other things. Due to the nature of the Company’s business, the availability of elective surgical procedures and customers’ ability to make capital purchases directly impacts the Company’s revenue and operations. We are actively monitoring the ongoing impact of the COVID-19 pandemic and its impact on elective surgical procedures throughout the U.S.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results of operations to be impacted for so long as the COVID-19 pandemic continues.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more information on risks associated with the COVID-19 outbreak, see the section titled “Risk Factors” in Item 1A of Part II.</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w:t>
      </w: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332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8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2020</w:t>
            </w: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28, 2019</w:t>
            </w:r>
          </w:p>
        </w:tc>
        <w:tc>
          <w:tcPr>
            <w:tcW w:w="38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2020</w:t>
            </w:r>
          </w:p>
        </w:tc>
        <w:tc>
          <w:tcPr>
            <w:tcW w:w="38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28, 2019</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59.8%</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3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62.5%</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(26.1%)</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30"/>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5"/>
        </w:trPr>
        <w:tc>
          <w:tcPr>
            <w:tcW w:w="36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provision for</w:t>
            </w:r>
          </w:p>
        </w:tc>
        <w:tc>
          <w:tcPr>
            <w:tcW w:w="12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(16.6%)</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shd w:val="clear" w:color="auto" w:fill="CFF0FC"/>
          </w:tcPr>
          <w:p>
            <w:pPr>
              <w:spacing w:after="0"/>
              <w:rPr>
                <w:sz w:val="19"/>
                <w:szCs w:val="19"/>
                <w:color w:val="auto"/>
              </w:rPr>
            </w:pP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(19.5%)</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(16.7%)</w:t>
            </w:r>
          </w:p>
        </w:tc>
        <w:tc>
          <w:tcPr>
            <w:tcW w:w="1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360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three months ended September 26, 2020 and September 28,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40" w:type="dxa"/>
            <w:vAlign w:val="bottom"/>
            <w:tcBorders>
              <w:bottom w:val="single" w:sz="8" w:color="CFF0FC"/>
            </w:tcBorders>
          </w:tcPr>
          <w:p>
            <w:pPr>
              <w:spacing w:after="0"/>
              <w:rPr>
                <w:sz w:val="15"/>
                <w:szCs w:val="15"/>
                <w:color w:val="auto"/>
              </w:rPr>
            </w:pPr>
          </w:p>
        </w:tc>
        <w:tc>
          <w:tcPr>
            <w:tcW w:w="580" w:type="dxa"/>
            <w:vAlign w:val="bottom"/>
          </w:tcPr>
          <w:p>
            <w:pPr>
              <w:spacing w:after="0"/>
              <w:rPr>
                <w:sz w:val="15"/>
                <w:szCs w:val="15"/>
                <w:color w:val="auto"/>
              </w:rPr>
            </w:pPr>
          </w:p>
        </w:tc>
      </w:tr>
      <w:tr>
        <w:trPr>
          <w:trHeight w:val="223"/>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Cyclo G6</w:t>
            </w:r>
          </w:p>
        </w:tc>
        <w:tc>
          <w:tcPr>
            <w:tcW w:w="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(1,359)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(316)</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22" w:name="page23"/>
    <w:bookmarkEnd w:id="22"/>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Our total revenues decreased by $1.9 million, or 17.5%, from $10.7 million to $8.8 million. Our business continues to be impacted by the COVID-19 pandemic with sales of our retina products most impacted, followed by other revenues, and our Cyclo G6 products the least impacted. Revenues from retina products decreased 23.5%, as a result of capital equipment sales being especially negatively impacted by the pandemic. Revenues from Cyclo G6 probes were up as the number of non-incisional MicroPulse Transscleral Laser Therapy treatments for glaucoma rebounded, but overall revenues from Cyclo G6 products decreased 6.3%, as a result of lower Cyclo G6 systems sales. Other revenues, comprised of service, royalty, freight and legacy G probes, decreased 16.5% due mainly to a decrease in legacy G probes and royalty revenues.</w:t>
      </w:r>
    </w:p>
    <w:p>
      <w:pPr>
        <w:spacing w:after="0" w:line="79" w:lineRule="exact"/>
        <w:rPr>
          <w:sz w:val="20"/>
          <w:szCs w:val="20"/>
          <w:color w:val="auto"/>
        </w:rPr>
      </w:pPr>
    </w:p>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While we believe that demand for our products remains, the overall capital expenditure landscape within hospitals, surgi-centers and physician offices has been impacted by the general level of uncertainty brought on by COVID-19. Until this stabilizes, we anticipate capital expenditures may continue to be deferred.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Gross profit decreased by $0.6 million, or 14.7%, from $4.3 million to $3.7 million. Gross margin increased by 1.3 percentage points from 40.2% to 41.5%. The increase in gross margin was primarily attributable to a shift in geographic mix and product mix, partially offset by an increase in the manufacturing overhead rate as a result of fixed overhead expenditures being absorbed over a lower sales volume.</w:t>
      </w:r>
    </w:p>
    <w:p>
      <w:pPr>
        <w:spacing w:after="0" w:line="68"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decreased by $0.1 million, or 13.7%, from $1.0 million to $0.9 million. The decrease in spending was primarily attributable to a decrease in consulting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200" w:firstLine="510"/>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$0.5 million, or 15.6%, from $3.5 million to $3.0 million. The decrease was primarily attributable to a decrease in personnel costs as a result of a reduction in headcount, lower commission expense due to lower sales, lower travel expenses and lower marketing program expenses as a consequence of the COVID-19 pandemic reducing business activity.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$0.1 million, or 3.1%, from $1.6 million to $1.7 million. The increase in spending was primarily attributable to an increase in consulting expenses, partially offset by a decrease in personnel costs as a result of a reduction in headcount.</w:t>
      </w:r>
    </w:p>
    <w:p>
      <w:pPr>
        <w:spacing w:after="0" w:line="54"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Management anticipates operating with the reduction in headcount and consequently lower costs for the foreseeable future as it continues to focus on managing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Other income, net was flat at $0.1 million for both periods. Other income, net, consisted primarily of interest income or expense, foreign currency gain or loss and the change in expense associated with the re-measurement of contingent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an income tax provision of $8 thousand and $7 thousand, respectively.</w:t>
      </w:r>
    </w:p>
    <w:p>
      <w:pPr>
        <w:spacing w:after="0" w:line="1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The following comparisons are between the nine months ended September 26, 2020 and September 28,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32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3"/>
        </w:trPr>
        <w:tc>
          <w:tcPr>
            <w:tcW w:w="3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 2020</w:t>
            </w:r>
          </w:p>
        </w:tc>
        <w:tc>
          <w:tcPr>
            <w:tcW w:w="240" w:type="dxa"/>
            <w:vAlign w:val="bottom"/>
            <w:tcBorders>
              <w:bottom w:val="single" w:sz="8" w:color="CFF0FC"/>
            </w:tcBorders>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28, 2019</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40" w:type="dxa"/>
            <w:vAlign w:val="bottom"/>
            <w:tcBorders>
              <w:bottom w:val="single" w:sz="8" w:color="CFF0FC"/>
            </w:tcBorders>
          </w:tcPr>
          <w:p>
            <w:pPr>
              <w:spacing w:after="0"/>
              <w:rPr>
                <w:sz w:val="15"/>
                <w:szCs w:val="15"/>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240" w:type="dxa"/>
            <w:vAlign w:val="bottom"/>
            <w:tcBorders>
              <w:bottom w:val="single" w:sz="8" w:color="CFF0FC"/>
            </w:tcBorders>
          </w:tcPr>
          <w:p>
            <w:pPr>
              <w:spacing w:after="0"/>
              <w:rPr>
                <w:sz w:val="15"/>
                <w:szCs w:val="15"/>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Cyclo G6</w:t>
            </w: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Retina</w:t>
            </w: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11,171</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(5,464)</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1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24,043</w:t>
            </w:r>
          </w:p>
        </w:tc>
        <w:tc>
          <w:tcPr>
            <w:tcW w:w="2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2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0"/>
        </w:trPr>
        <w:tc>
          <w:tcPr>
            <w:tcW w:w="3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6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Our total revenues decreased by $7.6 million, or 24.1%, from $31.7 million to $24.0 million. Our business has been impacted by the onset of COVID-19 pandemic at the beginning of the year with sales of our retina products most impacted, followed by our Cyclo G6 products, and other revenues the least impacted. Revenues from retina products decreased 32.8%, driven by a decrease in both domestic and international as capital equipment sales were especially impacted by the pandemic. Revenues from Cyclo G6 products decreased 17.1%, with a decrease in both Cyclo G6 systems and probes sales. Other revenues, comprised of service, royalty, freight and legacy G probes, decreased 10.1% due mainly to a decrease in legacy G probes and royalty revenues.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right="440" w:firstLine="510"/>
        <w:spacing w:after="0" w:line="266" w:lineRule="auto"/>
        <w:rPr>
          <w:sz w:val="20"/>
          <w:szCs w:val="20"/>
          <w:color w:val="auto"/>
        </w:rPr>
      </w:pPr>
      <w:r>
        <w:rPr>
          <w:rFonts w:ascii="Times New Roman" w:cs="Times New Roman" w:eastAsia="Times New Roman" w:hAnsi="Times New Roman"/>
          <w:sz w:val="18"/>
          <w:szCs w:val="18"/>
          <w:color w:val="auto"/>
        </w:rPr>
        <w:t>While we believe that demand for our products remains, the overall capital expenditure landscape within hospitals, surgi-centers and physician offices has been impacted by the general level of uncertainty brought on by COVID-19. Until this stabilizes, we anticipate capital expenditures may continue to be deferred.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119" w:lineRule="exact"/>
        <w:rPr>
          <w:sz w:val="20"/>
          <w:szCs w:val="20"/>
          <w:color w:val="auto"/>
        </w:rPr>
      </w:pPr>
    </w:p>
    <w:p>
      <w:pPr>
        <w:jc w:val="both"/>
        <w:ind w:right="40" w:firstLine="510"/>
        <w:spacing w:after="0" w:line="266" w:lineRule="auto"/>
        <w:rPr>
          <w:sz w:val="20"/>
          <w:szCs w:val="20"/>
          <w:color w:val="auto"/>
        </w:rPr>
      </w:pPr>
      <w:r>
        <w:rPr>
          <w:rFonts w:ascii="Times New Roman" w:cs="Times New Roman" w:eastAsia="Times New Roman" w:hAnsi="Times New Roman"/>
          <w:sz w:val="18"/>
          <w:szCs w:val="18"/>
          <w:color w:val="auto"/>
        </w:rPr>
        <w:t>Gross profit decreased by $3.1 million, or 23.8%, from $13.1 million to $10.0 million. Gross margin increased by 0.2 percentage points from 41.3% to 41.5%. The increase in gross margin was primarily attributable to favorable geographic and product mix, partially offset by an increase in manufacturing overhead rate as a result of fixed overhead expenditures being absorbed over a lower sales volume.</w:t>
      </w:r>
    </w:p>
    <w:p>
      <w:pPr>
        <w:spacing w:after="0" w:line="68"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decreased by $0.5 million, or 17.2%, from $2.9 million to $2.4 million. The decrease in spending was primarily attributable to a consulting expense and a decrease in personnel costs due to a reduction in headcount.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Sales and marketing expenses decreased by $2.3 million, or 20.4%, from $11.1 million to $8.8 million. The decrease was primarily attributable to a decrease in personnel costs as a result of a reduction in headcount, lower commission expense due to lower sales, lower travel expenses and lower marketing program expenses as a consequence of the COVID-19 pandemic reducing business activity.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720" w:firstLine="51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decreased by $1.4 million, or 22.0%, from $6.5 million to $5.1 million. The decrease in spending was primarily attributable to a decrease in personnel costs as a result of a reduction in headcount and lower legal expenses.</w:t>
      </w:r>
    </w:p>
    <w:p>
      <w:pPr>
        <w:spacing w:after="0" w:line="54" w:lineRule="exact"/>
        <w:rPr>
          <w:sz w:val="20"/>
          <w:szCs w:val="20"/>
          <w:color w:val="auto"/>
        </w:rPr>
      </w:pPr>
    </w:p>
    <w:p>
      <w:pPr>
        <w:ind w:right="200" w:firstLine="510"/>
        <w:spacing w:after="0" w:line="282" w:lineRule="auto"/>
        <w:rPr>
          <w:sz w:val="20"/>
          <w:szCs w:val="20"/>
          <w:color w:val="auto"/>
        </w:rPr>
      </w:pPr>
      <w:r>
        <w:rPr>
          <w:rFonts w:ascii="Times New Roman" w:cs="Times New Roman" w:eastAsia="Times New Roman" w:hAnsi="Times New Roman"/>
          <w:sz w:val="18"/>
          <w:szCs w:val="18"/>
          <w:color w:val="auto"/>
        </w:rPr>
        <w:t>Management anticipates operating with the reduction in headcount and consequently lower costs for the foreseeable future as it continues to focus on managing expenses.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right="540" w:firstLine="510"/>
        <w:spacing w:after="0" w:line="282" w:lineRule="auto"/>
        <w:rPr>
          <w:sz w:val="20"/>
          <w:szCs w:val="20"/>
          <w:color w:val="auto"/>
        </w:rPr>
      </w:pPr>
      <w:r>
        <w:rPr>
          <w:rFonts w:ascii="Times New Roman" w:cs="Times New Roman" w:eastAsia="Times New Roman" w:hAnsi="Times New Roman"/>
          <w:sz w:val="18"/>
          <w:szCs w:val="18"/>
          <w:color w:val="auto"/>
        </w:rPr>
        <w:t>Other income, net amounted to $0.2 million, compared to other income, net of $0.1 million. Other income, net, consisted primarily of interest income or expense, foreign currency gain or loss and the change in expense associated with the re-measurement of contingent liabilities.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an income tax provision of $20 thousand and $22 thousand,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Capital Resources.</w:t>
      </w:r>
    </w:p>
    <w:p>
      <w:pPr>
        <w:spacing w:after="0" w:line="119" w:lineRule="exact"/>
        <w:rPr>
          <w:sz w:val="20"/>
          <w:szCs w:val="20"/>
          <w:color w:val="auto"/>
        </w:rPr>
      </w:pPr>
    </w:p>
    <w:p>
      <w:pPr>
        <w:jc w:val="both"/>
        <w:ind w:right="300" w:firstLine="510"/>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4"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As of September 26, 2020, we had cash and cash equivalents of $11.9 million and working capital of $16.3 million compared to cash and cash equivalents of $12.7 million and working capital of $20.8 million as of December 28, 2019.</w:t>
      </w:r>
    </w:p>
    <w:p>
      <w:pPr>
        <w:spacing w:after="0" w:line="54" w:lineRule="exact"/>
        <w:rPr>
          <w:sz w:val="20"/>
          <w:szCs w:val="20"/>
          <w:color w:val="auto"/>
        </w:rPr>
      </w:pPr>
    </w:p>
    <w:p>
      <w:pPr>
        <w:jc w:val="both"/>
        <w:ind w:right="280" w:firstLine="51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$3.0 million in the nine months ended September 26, 2020 compared to $7.7 million in the nine months ended September 28, 2019. The decrease in net cash used in operating activities, expressed in direct cash flow terms, was primarily due to lower vendor payments and lower employee compensation, partially offset by a reduction in cash receipts from customers.</w:t>
      </w:r>
    </w:p>
    <w:p>
      <w:pPr>
        <w:spacing w:after="0" w:line="68" w:lineRule="exact"/>
        <w:rPr>
          <w:sz w:val="20"/>
          <w:szCs w:val="20"/>
          <w:color w:val="auto"/>
        </w:rPr>
      </w:pPr>
    </w:p>
    <w:p>
      <w:pPr>
        <w:jc w:val="both"/>
        <w:ind w:right="160" w:firstLine="51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26, 2020, net cash used in investing activities was $0.1 million, which consisted of capital expenditures. Net cash used in investing activities for the nine months ended September 28, 2019 was $0.4 million, which consisted of $0.1 million on capital expenditures and $0.3 million for payment of the contingent earn-out liability.</w:t>
      </w:r>
    </w:p>
    <w:p>
      <w:pPr>
        <w:spacing w:after="0" w:line="68"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26, 2020, net cash provided by financing activities was $2.5 million, primarily from the proceeds from a U.S. Small Business Association Loan (the “SBA Loan”) pursuant to the Payroll Protection Program (“PPP”) established under the CARES Act. For the nine months ended September 28, 2019, net cash used in financing activities was $0.2 million, which consisted of payroll taxes related to net share settlement of equity awards.</w:t>
      </w:r>
    </w:p>
    <w:p>
      <w:pPr>
        <w:spacing w:after="0" w:line="72" w:lineRule="exact"/>
        <w:rPr>
          <w:sz w:val="20"/>
          <w:szCs w:val="20"/>
          <w:color w:val="auto"/>
        </w:rPr>
      </w:pPr>
    </w:p>
    <w:p>
      <w:pPr>
        <w:ind w:right="220" w:firstLine="510"/>
        <w:spacing w:after="0" w:line="261"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sales of our products to customers, and through common stock and borrowing arrangements. As of September 26, 2020, our principal sources of liquidity consisted of cash and cash equivalents of $11.9 million. We have incurred net losses over the last several years, and as of September 26, 2020, have an accumulated deficit of approximately $56.8 million. We expect to continue to incur operating losses and negative cash flows from operations through October 2, 2021.</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ind w:firstLine="510"/>
        <w:spacing w:after="0" w:line="253"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320" w:firstLine="51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6" w:lineRule="exact"/>
        <w:rPr>
          <w:sz w:val="20"/>
          <w:szCs w:val="20"/>
          <w:color w:val="auto"/>
        </w:rPr>
      </w:pPr>
    </w:p>
    <w:p>
      <w:pPr>
        <w:ind w:right="200" w:firstLine="510"/>
        <w:spacing w:after="0" w:line="261" w:lineRule="auto"/>
        <w:rPr>
          <w:sz w:val="20"/>
          <w:szCs w:val="20"/>
          <w:color w:val="auto"/>
        </w:rPr>
      </w:pPr>
      <w:r>
        <w:rPr>
          <w:rFonts w:ascii="Times New Roman" w:cs="Times New Roman" w:eastAsia="Times New Roman" w:hAnsi="Times New Roman"/>
          <w:sz w:val="18"/>
          <w:szCs w:val="18"/>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September 26, 2020. Based on the foregoing, our Principal Executive Officer and our Principal Financial Officer concluded that our disclosure controls and procedures were effective at the reasonable assurance level.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121" w:lineRule="exact"/>
        <w:rPr>
          <w:sz w:val="20"/>
          <w:szCs w:val="20"/>
          <w:color w:val="auto"/>
        </w:rPr>
      </w:pPr>
    </w:p>
    <w:p>
      <w:pPr>
        <w:ind w:right="80" w:firstLine="51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contained in this Quarterly Report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right="420" w:firstLine="51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Times New Roman" w:cs="Times New Roman" w:eastAsia="Times New Roman" w:hAnsi="Times New Roman"/>
          <w:sz w:val="18"/>
          <w:szCs w:val="18"/>
          <w:b w:val="1"/>
          <w:bCs w:val="1"/>
          <w:i w:val="1"/>
          <w:iCs w:val="1"/>
          <w:color w:val="212529"/>
        </w:rPr>
        <w:t>We are unable to predict the extent to which the pandemic and related impacts will continue to adversely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12529"/>
        </w:rPr>
        <w:t>impact our business operations, financial performance, results of operations, financial position and the achievement of our strategic objectives.</w:t>
      </w:r>
    </w:p>
    <w:p>
      <w:pPr>
        <w:spacing w:after="0" w:line="75"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during the nine months ended September 26, 2020,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 place and the volume of elective procedures remains low, our results of operations and financial condition will continue to be adversely affected.</w:t>
      </w:r>
    </w:p>
    <w:p>
      <w:pPr>
        <w:spacing w:after="0" w:line="84"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As a result of the COVID-19 outbreak around the world, we have adopted several measures including instructing employees to work from home while under shelter-in-place orders, slowing our manufacturing operations, and restricting non-critical business travel by our employees. In April and May,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This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8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Times New Roman" w:cs="Times New Roman" w:eastAsia="Times New Roman" w:hAnsi="Times New Roman"/>
          <w:sz w:val="18"/>
          <w:szCs w:val="18"/>
          <w:color w:val="212529"/>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Times New Roman" w:cs="Times New Roman" w:eastAsia="Times New Roman" w:hAnsi="Times New Roman"/>
          <w:sz w:val="18"/>
          <w:szCs w:val="18"/>
          <w:color w:val="000000"/>
        </w:rPr>
        <w:t>Although the magnitude of the impact of COVID-19 on our business operations remains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uncertain and difficult to predict,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ind w:right="220"/>
        <w:spacing w:after="0" w:line="282" w:lineRule="auto"/>
        <w:rPr>
          <w:sz w:val="20"/>
          <w:szCs w:val="20"/>
          <w:color w:val="auto"/>
        </w:rPr>
      </w:pPr>
      <w:r>
        <w:rPr>
          <w:rFonts w:ascii="Times New Roman" w:cs="Times New Roman" w:eastAsia="Times New Roman" w:hAnsi="Times New Roman"/>
          <w:sz w:val="18"/>
          <w:szCs w:val="18"/>
          <w:color w:val="auto"/>
        </w:rPr>
        <w:t>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50" w:lineRule="exact"/>
        <w:rPr>
          <w:sz w:val="20"/>
          <w:szCs w:val="20"/>
          <w:color w:val="auto"/>
        </w:rPr>
      </w:pPr>
    </w:p>
    <w:p>
      <w:pPr>
        <w:ind w:right="14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indebtedness under the CARES Act which may be subject to audit, may not be forgivable and may eventually have to be repaid. Any repayment of such indebtedness may limit the funds available to us and may restrict our flexibility in operating our business or otherwise adversely affect our results of operations.</w:t>
      </w:r>
    </w:p>
    <w:p>
      <w:pPr>
        <w:spacing w:after="0" w:line="67" w:lineRule="exact"/>
        <w:rPr>
          <w:sz w:val="20"/>
          <w:szCs w:val="20"/>
          <w:color w:val="auto"/>
        </w:rPr>
      </w:pPr>
    </w:p>
    <w:p>
      <w:pPr>
        <w:ind w:right="180" w:firstLine="510"/>
        <w:spacing w:after="0" w:line="276" w:lineRule="auto"/>
        <w:rPr>
          <w:sz w:val="20"/>
          <w:szCs w:val="20"/>
          <w:color w:val="auto"/>
        </w:rPr>
      </w:pPr>
      <w:r>
        <w:rPr>
          <w:rFonts w:ascii="Times New Roman" w:cs="Times New Roman" w:eastAsia="Times New Roman" w:hAnsi="Times New Roman"/>
          <w:sz w:val="17"/>
          <w:szCs w:val="17"/>
          <w:color w:val="auto"/>
        </w:rPr>
        <w:t>In April 2020, the Company received an aggregate principal amount of approximately $2.5 million U.S. Small Business Administration Loan (the “SBA Loan”) pursuant to the Payroll Protection Program (“PPP”), established under the CARES Act. The SBA Loan is subject to forgiveness under the</w:t>
      </w:r>
    </w:p>
    <w:p>
      <w:pPr>
        <w:spacing w:after="0" w:line="1" w:lineRule="exact"/>
        <w:rPr>
          <w:sz w:val="20"/>
          <w:szCs w:val="20"/>
          <w:color w:val="auto"/>
        </w:rPr>
      </w:pPr>
    </w:p>
    <w:p>
      <w:pPr>
        <w:ind w:right="20" w:firstLine="8"/>
        <w:spacing w:after="0" w:line="251" w:lineRule="auto"/>
        <w:tabs>
          <w:tab w:leader="none" w:pos="3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Company’s request to the extent that the proceeds are used to pay expenses permitted by the PPP, including payroll costs, covered rent and mortgage obligations, and covered utility payments. In September 2020, the Company submitted an application for forgiveness of the entire amount due on the loan. Amounts outstanding under the loan will bear a fixed interest rate of 1.00% per annum with a maturity date of April 22, 2022, two years from commencement date. All payments are deferred for six months with interest accruing over the entire period of the SBA Loan. 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such audit or review could result in the diversion of management’s time and attention, generate negative publicity and cause us to incur legal and reputational costs. If we were to be audited and receive an adverse outcome in such an audit, we could be required to return the full amount of the SBA Loan and may potentially be subject to civil and criminal fines and penalties. We may not have the resources to repay the SBA Loan if required to do so by the federal government.</w:t>
      </w:r>
    </w:p>
    <w:p>
      <w:pPr>
        <w:spacing w:after="0" w:line="85"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cannot provide assurance that the principal and interest amounts under the PPP Loan will be forgiven. If all or substantially all of the SBA Loan is not forgiven or it is subsequently determined that it must be repaid, we may be required to use a substantial portion of our cash flows from operations to pay interest and principal on the SBA Loan. Although we currently have no intention of repaying the SBA Loan, we may decide to repay it in the future. Any such repayment of the SBA Loan will reduce the funds available to us for working capital, capital expenditures, and other corporate purposes and may limit our ability to obtain additional financing for working capital, capital expenditures, expansion plans, and other investments or divert funds that are otherwise necessary to run our business. We cannot assure you that our business will generate sufficient cash flow from operations or that future financing will be available to us in amounts sufficient to enable us to make required and timely repayments on our indebtedness, or to fund our operations. To date, we have used a substantial amount of cash for operating activities, and we cannot assure you when we will begin to generate cash from operating activities in amounts sufficient to service our debt. Additionally, though we believe we are eligible for the SBA Loan under the PPP, our receipt of the SBA Loan could result in negative publicity, or expose us to liability under the federal False Claims Act, which prohibits the known filing of a false claim or the known use of false statements to obtain payment from the federal government, if it is determined that we were in fact not eligible to take the SBA Loan in the first instance.</w:t>
      </w:r>
    </w:p>
    <w:p>
      <w:pPr>
        <w:spacing w:after="0" w:line="8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In addition, although we are reviewing and may seek additional available benefits under the CARES Act, we cannot predict the manner in which such benefits will be allocated or administered and we cannot assure you that we will be able to access such benefits in a timely manner or at all. Certain of the benefits under the CARES Act have not previously been administered on the present scale or at all. Government or third party program administrators may be unable to cope with the volume of applications in the near term and any benefits we receive may not be as extensive as those for which we apply, may impose additional conditions and restrictions on our operations or may otherwise provide less relief than we contemplate. If the U.S. government or any other governmental authority agrees to provide additional crisis relief assistance that we accept, it may impose certain requirements on the recipients of the aid, including restrictions on executive officer compensation, dividends, prepayment of debt, limitations on debt and other similar restrictions that will apply for a period of time after the aid is repaid or redeemed in full. We cannot assure you that any such government crisis relief assistance will not significantly limit our corporate activities or be on terms that are favorable to us. Such restrictions and terms could adversely impact our business and limit our operations and revenue as a result.</w:t>
      </w:r>
    </w:p>
    <w:p>
      <w:pPr>
        <w:spacing w:after="0" w:line="82" w:lineRule="exact"/>
        <w:rPr>
          <w:sz w:val="20"/>
          <w:szCs w:val="20"/>
          <w:color w:val="auto"/>
        </w:rPr>
      </w:pPr>
    </w:p>
    <w:p>
      <w:pPr>
        <w:ind w:right="8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51"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54"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68"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In the past several years, we have experienced supply chain, production and training issues as we have expanded our product lines and sales volumes, and may experience similar issues in the future as we continue to grow our business. For example, we have contracted with a manufacturing company located in Wuhan, China for certain laser systems scheduled for release in the latter half of 2020. Due to the COVID-19 or coronavirus outbreak, release of our manufacturing process and launch of these new laser systems may be delayed or disrupted, and we may need to incur costs to replace or shift this manufacturing process elsewhere. These issues have</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7" w:name="page28"/>
    <w:bookmarkEnd w:id="27"/>
    <w:p>
      <w:pPr>
        <w:ind w:right="80"/>
        <w:spacing w:after="0" w:line="258" w:lineRule="auto"/>
        <w:rPr>
          <w:sz w:val="20"/>
          <w:szCs w:val="20"/>
          <w:color w:val="auto"/>
        </w:rPr>
      </w:pPr>
      <w:r>
        <w:rPr>
          <w:rFonts w:ascii="Times New Roman" w:cs="Times New Roman" w:eastAsia="Times New Roman" w:hAnsi="Times New Roman"/>
          <w:sz w:val="18"/>
          <w:szCs w:val="18"/>
          <w:color w:val="auto"/>
        </w:rPr>
        <w:t>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71" w:lineRule="exact"/>
        <w:rPr>
          <w:sz w:val="20"/>
          <w:szCs w:val="20"/>
          <w:color w:val="auto"/>
        </w:rPr>
      </w:pPr>
    </w:p>
    <w:p>
      <w:pPr>
        <w:ind w:right="3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84" w:lineRule="exact"/>
        <w:rPr>
          <w:sz w:val="20"/>
          <w:szCs w:val="20"/>
          <w:color w:val="auto"/>
        </w:rPr>
      </w:pPr>
    </w:p>
    <w:p>
      <w:pPr>
        <w:ind w:right="200" w:firstLine="510"/>
        <w:spacing w:after="0" w:line="289" w:lineRule="auto"/>
        <w:rPr>
          <w:sz w:val="20"/>
          <w:szCs w:val="20"/>
          <w:color w:val="auto"/>
        </w:rPr>
      </w:pPr>
      <w:r>
        <w:rPr>
          <w:rFonts w:ascii="Times New Roman" w:cs="Times New Roman" w:eastAsia="Times New Roman" w:hAnsi="Times New Roman"/>
          <w:sz w:val="17"/>
          <w:szCs w:val="17"/>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50" w:lineRule="exact"/>
        <w:rPr>
          <w:sz w:val="20"/>
          <w:szCs w:val="20"/>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returns and warranty expenses;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or achieve market acceptance;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engineering resources;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occurrence of any one or more of the foregoing factors could seriously harm our business, financial condition and results of operations.</w:t>
      </w:r>
    </w:p>
    <w:p>
      <w:pPr>
        <w:spacing w:after="0" w:line="113"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direct and independent sales forces and network of international distributors to sell our products and if we lose our sales force or distributor relationships, it could harm our business.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16 employees and one independent representative, respectively and our direct sales force in Germany consists of one employee.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84" w:lineRule="exact"/>
        <w:rPr>
          <w:sz w:val="20"/>
          <w:szCs w:val="20"/>
          <w:color w:val="auto"/>
        </w:rPr>
      </w:pPr>
    </w:p>
    <w:p>
      <w:pPr>
        <w:ind w:right="40" w:firstLine="510"/>
        <w:spacing w:after="0" w:line="273" w:lineRule="auto"/>
        <w:rPr>
          <w:sz w:val="20"/>
          <w:szCs w:val="20"/>
          <w:color w:val="auto"/>
        </w:rPr>
      </w:pPr>
      <w:r>
        <w:rPr>
          <w:rFonts w:ascii="Times New Roman" w:cs="Times New Roman" w:eastAsia="Times New Roman" w:hAnsi="Times New Roman"/>
          <w:sz w:val="17"/>
          <w:szCs w:val="17"/>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spacing w:after="0" w:line="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Growth in our sales and marketing organization may create operational challenges without immediately offsetting benefits.</w:t>
      </w:r>
    </w:p>
    <w:p>
      <w:pPr>
        <w:spacing w:after="0" w:line="121"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ind w:right="240"/>
        <w:spacing w:after="0" w:line="261" w:lineRule="auto"/>
        <w:rPr>
          <w:sz w:val="20"/>
          <w:szCs w:val="20"/>
          <w:color w:val="auto"/>
        </w:rPr>
      </w:pPr>
      <w:r>
        <w:rPr>
          <w:rFonts w:ascii="Times New Roman" w:cs="Times New Roman" w:eastAsia="Times New Roman" w:hAnsi="Times New Roman"/>
          <w:sz w:val="18"/>
          <w:szCs w:val="18"/>
          <w:color w:val="auto"/>
        </w:rPr>
        <w:t>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72"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international sales for a significant portion of our operating results.</w:t>
      </w:r>
    </w:p>
    <w:p>
      <w:pPr>
        <w:spacing w:after="0" w:line="121"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We derive, and expect to continue to derive, a large portion of our revenues from international sales. For the third quarter of fiscal year 2020, our international sales were $3.5 million, or 40.2% of total revenues. We anticipate that international sales will continue to account for a significant portion of our revenues in the foreseeable future. All of our international revenues and costs for the third quarter of fiscal year 2020 have been denominated in U.S. dollars except for a sale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79" w:lineRule="exact"/>
        <w:rPr>
          <w:sz w:val="20"/>
          <w:szCs w:val="20"/>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global economy and financial markets;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production issues;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international channel of distributors;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periods;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recessions in global economies and availability of credit;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and embargoes;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conflicts, terrorist and military activity, civil unrest;</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requirements, including continued ability to use the “CE” mark in Europe, and other local regulatory requirements;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medical reimbursement and coverage policies and programs;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protections of intellectual property rights in jurisdictions outside the United States;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such as those related to changes in tax laws or tax rates or their interpretations;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adverse and changing foreign governmental laws and regulations;</w:t>
      </w:r>
    </w:p>
    <w:p>
      <w:pPr>
        <w:spacing w:after="0" w:line="117" w:lineRule="exact"/>
        <w:rPr>
          <w:rFonts w:ascii="Times New Roman" w:cs="Times New Roman" w:eastAsia="Times New Roman" w:hAnsi="Times New Roman"/>
          <w:sz w:val="18"/>
          <w:szCs w:val="18"/>
          <w:color w:val="auto"/>
        </w:rPr>
      </w:pPr>
    </w:p>
    <w:p>
      <w:pPr>
        <w:ind w:left="1000" w:right="28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53"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risks of non-compliance with multiple regulatory regimes governing the production, marketing, sale and use of our products.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one or more of these factors stated above could have a material adverse effect on our business, financial condition or results of operations.</w:t>
      </w:r>
    </w:p>
    <w:p>
      <w:pPr>
        <w:spacing w:after="0" w:line="117" w:lineRule="exact"/>
        <w:rPr>
          <w:sz w:val="20"/>
          <w:szCs w:val="20"/>
          <w:color w:val="auto"/>
        </w:rPr>
      </w:pPr>
    </w:p>
    <w:p>
      <w:pPr>
        <w:ind w:right="460" w:firstLine="510"/>
        <w:spacing w:after="0" w:line="261" w:lineRule="auto"/>
        <w:rPr>
          <w:sz w:val="20"/>
          <w:szCs w:val="20"/>
          <w:color w:val="auto"/>
        </w:rPr>
      </w:pPr>
      <w:r>
        <w:rPr>
          <w:rFonts w:ascii="Times New Roman" w:cs="Times New Roman" w:eastAsia="Times New Roman" w:hAnsi="Times New Roman"/>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9" w:name="page30"/>
    <w:bookmarkEnd w:id="29"/>
    <w:p>
      <w:pPr>
        <w:ind w:right="2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economic restrictions worsen, it could delay and disrupt our research and development processes even further.</w:t>
      </w:r>
    </w:p>
    <w:p>
      <w:pPr>
        <w:spacing w:after="0" w:line="79"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9"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worldwide economic slowdowns and related uncertainties.</w:t>
      </w:r>
    </w:p>
    <w:p>
      <w:pPr>
        <w:spacing w:after="0" w:line="121" w:lineRule="exact"/>
        <w:rPr>
          <w:sz w:val="20"/>
          <w:szCs w:val="20"/>
          <w:color w:val="auto"/>
        </w:rPr>
      </w:pPr>
    </w:p>
    <w:p>
      <w:pPr>
        <w:ind w:right="260" w:firstLine="510"/>
        <w:spacing w:after="0" w:line="258"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75"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economic uncertainty persisted, or if the economy entered a prolonged period of decelerating growth, our results of operations may be harmed.</w:t>
      </w:r>
    </w:p>
    <w:p>
      <w:pPr>
        <w:spacing w:after="0" w:line="11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and year to year.</w:t>
      </w:r>
    </w:p>
    <w:p>
      <w:pPr>
        <w:spacing w:after="0" w:line="121"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54" w:lineRule="exact"/>
        <w:rPr>
          <w:sz w:val="20"/>
          <w:szCs w:val="20"/>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uncertainties and political concerns, including the impact of COVID-19;</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at which we can sell our products, including the impact of changes in exchange rates;</w:t>
      </w:r>
    </w:p>
    <w:p>
      <w:pPr>
        <w:spacing w:after="0" w:line="117" w:lineRule="exact"/>
        <w:rPr>
          <w:rFonts w:ascii="Times New Roman" w:cs="Times New Roman" w:eastAsia="Times New Roman" w:hAnsi="Times New Roman"/>
          <w:sz w:val="18"/>
          <w:szCs w:val="18"/>
          <w:color w:val="auto"/>
        </w:rPr>
      </w:pPr>
    </w:p>
    <w:p>
      <w:pPr>
        <w:ind w:left="1000" w:right="2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reductions in product shipments, or product recalls, resulting from manufacturing, distribution or other operational issues;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and market acceptance of new products, product enhancements and new applications;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existing line of ophthalmology products;</w:t>
      </w:r>
    </w:p>
    <w:p>
      <w:pPr>
        <w:spacing w:after="0" w:line="117" w:lineRule="exact"/>
        <w:rPr>
          <w:rFonts w:ascii="Times New Roman" w:cs="Times New Roman" w:eastAsia="Times New Roman" w:hAnsi="Times New Roman"/>
          <w:sz w:val="18"/>
          <w:szCs w:val="18"/>
          <w:color w:val="auto"/>
        </w:rPr>
      </w:pPr>
    </w:p>
    <w:p>
      <w:pPr>
        <w:ind w:left="1000" w:right="360" w:hanging="493"/>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volumes at a level sufficient to cover fixed manufacturing and operating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0" w:name="page31"/>
    <w:bookmarkEnd w:id="30"/>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product mix within ophthalmology products and foreign and domestic sales;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approvals and changes in domestic and foreign regulatory requirements;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and highly variable sales cycle;</w:t>
      </w:r>
    </w:p>
    <w:p>
      <w:pPr>
        <w:spacing w:after="0" w:line="117" w:lineRule="exact"/>
        <w:rPr>
          <w:rFonts w:ascii="Times New Roman" w:cs="Times New Roman" w:eastAsia="Times New Roman" w:hAnsi="Times New Roman"/>
          <w:sz w:val="18"/>
          <w:szCs w:val="18"/>
          <w:color w:val="auto"/>
        </w:rPr>
      </w:pPr>
    </w:p>
    <w:p>
      <w:pPr>
        <w:ind w:left="1000" w:right="260" w:hanging="493"/>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or potential customers’ budgets as a result of, among other things, reimbursement policies of government programs and private insurers for treatments that use our products;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shipment volumes as a result of product, supply chain and training issues;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innovation costs.</w:t>
      </w:r>
    </w:p>
    <w:p>
      <w:pPr>
        <w:spacing w:after="0" w:line="117"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5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77"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51" w:lineRule="exact"/>
        <w:rPr>
          <w:sz w:val="20"/>
          <w:szCs w:val="20"/>
          <w:color w:val="auto"/>
        </w:rPr>
      </w:pPr>
    </w:p>
    <w:p>
      <w:pPr>
        <w:ind w:right="260" w:firstLine="510"/>
        <w:spacing w:after="0" w:line="282" w:lineRule="auto"/>
        <w:rPr>
          <w:sz w:val="20"/>
          <w:szCs w:val="20"/>
          <w:color w:val="auto"/>
        </w:rPr>
      </w:pPr>
      <w:r>
        <w:rPr>
          <w:rFonts w:ascii="Times New Roman" w:cs="Times New Roman" w:eastAsia="Times New Roman" w:hAnsi="Times New Roman"/>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54" w:lineRule="exact"/>
        <w:rPr>
          <w:sz w:val="20"/>
          <w:szCs w:val="20"/>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pandemic on timing of ophthalmic treatment procedures;</w:t>
      </w:r>
    </w:p>
    <w:p>
      <w:pPr>
        <w:spacing w:after="0" w:line="117" w:lineRule="exact"/>
        <w:rPr>
          <w:rFonts w:ascii="Times New Roman" w:cs="Times New Roman" w:eastAsia="Times New Roman" w:hAnsi="Times New Roman"/>
          <w:sz w:val="18"/>
          <w:szCs w:val="18"/>
          <w:color w:val="auto"/>
        </w:rPr>
      </w:pPr>
    </w:p>
    <w:p>
      <w:pPr>
        <w:ind w:left="1000" w:right="86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product performance, features, ease of use, scalability and durability, including with respect to our MicroPulse laser photocoagulation systems;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opinions by ophthalmologists, other clinicians, and their associated opinion leaders;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clinical study outcomes;</w:t>
      </w:r>
    </w:p>
    <w:p>
      <w:pPr>
        <w:spacing w:after="0" w:line="117" w:lineRule="exact"/>
        <w:rPr>
          <w:rFonts w:ascii="Times New Roman" w:cs="Times New Roman" w:eastAsia="Times New Roman" w:hAnsi="Times New Roman"/>
          <w:sz w:val="18"/>
          <w:szCs w:val="18"/>
          <w:color w:val="auto"/>
        </w:rPr>
      </w:pPr>
    </w:p>
    <w:p>
      <w:pPr>
        <w:ind w:left="1000" w:right="300" w:hanging="493"/>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products, technologies and alternative treatments;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reimbursement for treatments administered with our products.</w:t>
      </w:r>
    </w:p>
    <w:p>
      <w:pPr>
        <w:spacing w:after="0" w:line="117"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In addition, we derive a meaningful portion of our sales in the form of recurring revenues from selling consumable instrumentation, including our Cyclo G6 probe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in our markets and expect the level of competition to grow in the foreseeable future.</w:t>
      </w:r>
    </w:p>
    <w:p>
      <w:pPr>
        <w:spacing w:after="0" w:line="121" w:lineRule="exact"/>
        <w:rPr>
          <w:sz w:val="20"/>
          <w:szCs w:val="20"/>
          <w:color w:val="auto"/>
        </w:rPr>
      </w:pPr>
    </w:p>
    <w:p>
      <w:pPr>
        <w:ind w:right="40" w:firstLine="510"/>
        <w:spacing w:after="0" w:line="289" w:lineRule="auto"/>
        <w:rPr>
          <w:sz w:val="20"/>
          <w:szCs w:val="20"/>
          <w:color w:val="auto"/>
        </w:rPr>
      </w:pPr>
      <w:r>
        <w:rPr>
          <w:rFonts w:ascii="Times New Roman" w:cs="Times New Roman" w:eastAsia="Times New Roman" w:hAnsi="Times New Roman"/>
          <w:sz w:val="17"/>
          <w:szCs w:val="17"/>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50" w:lineRule="exact"/>
        <w:rPr>
          <w:sz w:val="20"/>
          <w:szCs w:val="20"/>
          <w:color w:val="auto"/>
        </w:rPr>
      </w:pPr>
    </w:p>
    <w:p>
      <w:pPr>
        <w:ind w:right="280" w:firstLine="510"/>
        <w:spacing w:after="0" w:line="261" w:lineRule="auto"/>
        <w:rPr>
          <w:sz w:val="20"/>
          <w:szCs w:val="20"/>
          <w:color w:val="auto"/>
        </w:rPr>
      </w:pPr>
      <w:r>
        <w:rPr>
          <w:rFonts w:ascii="Times New Roman" w:cs="Times New Roman" w:eastAsia="Times New Roman" w:hAnsi="Times New Roman"/>
          <w:sz w:val="18"/>
          <w:szCs w:val="18"/>
          <w:color w:val="auto"/>
        </w:rPr>
        <w:t>Our principal ophthalmic laser competitors are Alcon, Inc., Novartis AG, Bausch Health Companies Inc., Carl Zeiss Meditec AG, Ellex Medical Lasers, Ltd., Lumenis Ltd., Nidek Co. Ltd., Quantel Medical SA, and Topcon Corporation. We also compete with alternative glaucoma surgical device companies such as Alcon, Inc., Allergan, Inc., Glaukos Corporation, New World Medical, Inc. and Ivantis, Inc. Pharmaceuticals represent alternative treatments to our laser procedures. Some of our principal pharmaceutical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right="40"/>
        <w:spacing w:after="0" w:line="255" w:lineRule="auto"/>
        <w:rPr>
          <w:sz w:val="20"/>
          <w:szCs w:val="20"/>
          <w:color w:val="auto"/>
        </w:rPr>
      </w:pPr>
      <w:r>
        <w:rPr>
          <w:rFonts w:ascii="Times New Roman" w:cs="Times New Roman" w:eastAsia="Times New Roman" w:hAnsi="Times New Roman"/>
          <w:sz w:val="18"/>
          <w:szCs w:val="18"/>
          <w:color w:val="auto"/>
        </w:rPr>
        <w:t>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7" w:lineRule="exact"/>
        <w:rPr>
          <w:sz w:val="20"/>
          <w:szCs w:val="20"/>
          <w:color w:val="auto"/>
        </w:rPr>
      </w:pPr>
    </w:p>
    <w:p>
      <w:pPr>
        <w:ind w:right="1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5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79" w:lineRule="exact"/>
        <w:rPr>
          <w:sz w:val="20"/>
          <w:szCs w:val="20"/>
          <w:color w:val="auto"/>
        </w:rPr>
      </w:pPr>
    </w:p>
    <w:p>
      <w:pPr>
        <w:ind w:right="240" w:firstLine="510"/>
        <w:spacing w:after="0" w:line="261" w:lineRule="auto"/>
        <w:rPr>
          <w:sz w:val="20"/>
          <w:szCs w:val="20"/>
          <w:color w:val="auto"/>
        </w:rPr>
      </w:pPr>
      <w:r>
        <w:rPr>
          <w:rFonts w:ascii="Times New Roman" w:cs="Times New Roman" w:eastAsia="Times New Roman" w:hAnsi="Times New Roman"/>
          <w:sz w:val="18"/>
          <w:szCs w:val="18"/>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72"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Sales or issuances of a substantial amount of securities, or the perception that such sales could occur, may adversely affect prevailing market prices for our common stock. As of September 26, 2020, we had 13,897,353 shares of common stock outstanding, all of which shares were, and continue to be, eligible for sale in the public market, subject in some cases to compliance with the requirements of Rule 144, including the volume limitations and manner of sale requirements. Future resales of our common stock by our existing stockholders could cause the market price of our common stock to decline.</w:t>
      </w:r>
    </w:p>
    <w:p>
      <w:pPr>
        <w:spacing w:after="0" w:line="72"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As of September 26, 2020, holders of an aggregate of 973,204 shares of our common stock have rights, subject to some conditions, to require us to file registration statements covering their shares or to include their shares in registration statements that we may file for ourselves or our other stockholders. In addition, the shares of common stock subject to outstanding options and Restricted Stock Units under our 2008 Equity Incentive Plan and the shares reserved for future issuance under the Incentive Plan may become eligible for sale in the public markets in the future, subject to certain legal and control limitations.</w:t>
      </w:r>
    </w:p>
    <w:p>
      <w:pPr>
        <w:spacing w:after="0" w:line="75"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68"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51"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79" w:lineRule="exact"/>
        <w:rPr>
          <w:sz w:val="20"/>
          <w:szCs w:val="20"/>
          <w:color w:val="auto"/>
        </w:rPr>
      </w:pPr>
    </w:p>
    <w:p>
      <w:pPr>
        <w:ind w:right="40" w:firstLine="510"/>
        <w:spacing w:after="0" w:line="266" w:lineRule="auto"/>
        <w:rPr>
          <w:sz w:val="20"/>
          <w:szCs w:val="20"/>
          <w:color w:val="auto"/>
        </w:rPr>
      </w:pPr>
      <w:r>
        <w:rPr>
          <w:rFonts w:ascii="Times New Roman" w:cs="Times New Roman" w:eastAsia="Times New Roman" w:hAnsi="Times New Roman"/>
          <w:sz w:val="18"/>
          <w:szCs w:val="18"/>
          <w:color w:val="auto"/>
        </w:rPr>
        <w:t>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2" w:name="page33"/>
    <w:bookmarkEnd w:id="32"/>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the Affordable Care Act, has been subject to judicial challenge, and may be subject to similar challenges from time to time in the future (such as the ongoing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68" w:lineRule="exact"/>
        <w:rPr>
          <w:sz w:val="20"/>
          <w:szCs w:val="20"/>
          <w:color w:val="auto"/>
        </w:rPr>
      </w:pPr>
    </w:p>
    <w:p>
      <w:pPr>
        <w:ind w:right="100" w:firstLine="510"/>
        <w:spacing w:after="0" w:line="281" w:lineRule="auto"/>
        <w:rPr>
          <w:sz w:val="20"/>
          <w:szCs w:val="20"/>
          <w:color w:val="auto"/>
        </w:rPr>
      </w:pPr>
      <w:r>
        <w:rPr>
          <w:rFonts w:ascii="Times New Roman" w:cs="Times New Roman" w:eastAsia="Times New Roman" w:hAnsi="Times New Roman"/>
          <w:sz w:val="17"/>
          <w:szCs w:val="17"/>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52"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51" w:lineRule="exact"/>
        <w:rPr>
          <w:sz w:val="20"/>
          <w:szCs w:val="20"/>
          <w:color w:val="auto"/>
        </w:rPr>
      </w:pPr>
    </w:p>
    <w:p>
      <w:pPr>
        <w:ind w:right="100" w:firstLine="510"/>
        <w:spacing w:after="0" w:line="252" w:lineRule="auto"/>
        <w:rPr>
          <w:sz w:val="20"/>
          <w:szCs w:val="20"/>
          <w:color w:val="auto"/>
        </w:rPr>
      </w:pPr>
      <w:r>
        <w:rPr>
          <w:rFonts w:ascii="Times New Roman" w:cs="Times New Roman" w:eastAsia="Times New Roman" w:hAnsi="Times New Roman"/>
          <w:sz w:val="18"/>
          <w:szCs w:val="18"/>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89"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collaborative relationships to develop, introduce and market new products, product enhancements and new applications.</w:t>
      </w:r>
    </w:p>
    <w:p>
      <w:pPr>
        <w:spacing w:after="0" w:line="121" w:lineRule="exact"/>
        <w:rPr>
          <w:sz w:val="20"/>
          <w:szCs w:val="20"/>
          <w:color w:val="auto"/>
        </w:rPr>
      </w:pPr>
    </w:p>
    <w:p>
      <w:pPr>
        <w:ind w:right="160" w:firstLine="510"/>
        <w:spacing w:after="0" w:line="274" w:lineRule="auto"/>
        <w:rPr>
          <w:sz w:val="20"/>
          <w:szCs w:val="20"/>
          <w:color w:val="auto"/>
        </w:rPr>
      </w:pPr>
      <w:r>
        <w:rPr>
          <w:rFonts w:ascii="Times New Roman" w:cs="Times New Roman" w:eastAsia="Times New Roman" w:hAnsi="Times New Roman"/>
          <w:sz w:val="17"/>
          <w:szCs w:val="17"/>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ind w:right="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5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71" w:lineRule="exact"/>
        <w:rPr>
          <w:sz w:val="20"/>
          <w:szCs w:val="20"/>
          <w:color w:val="auto"/>
        </w:rPr>
      </w:pPr>
    </w:p>
    <w:p>
      <w:pPr>
        <w:ind w:right="7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51"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growth effectively, our business could be disrupted which could harm our operating results.</w:t>
      </w:r>
    </w:p>
    <w:p>
      <w:pPr>
        <w:spacing w:after="0" w:line="121" w:lineRule="exact"/>
        <w:rPr>
          <w:sz w:val="20"/>
          <w:szCs w:val="20"/>
          <w:color w:val="auto"/>
        </w:rPr>
      </w:pPr>
    </w:p>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patents and proprietary rights to protect our intellectual property and business.</w:t>
      </w:r>
    </w:p>
    <w:p>
      <w:pPr>
        <w:spacing w:after="0" w:line="12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Our patent portfolio includes 25 active United States patents and seven active foreign patents on the technologies related to our products and processes. In addition, we have six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80" w:lineRule="exact"/>
        <w:rPr>
          <w:sz w:val="20"/>
          <w:szCs w:val="20"/>
          <w:color w:val="auto"/>
        </w:rPr>
      </w:pPr>
    </w:p>
    <w:p>
      <w:pPr>
        <w:ind w:right="240" w:firstLine="510"/>
        <w:spacing w:after="0" w:line="256"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7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54"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81"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lose key personnel or fail to integrate replacement personnel successfully, our ability to manage our business could be impaired.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76" w:lineRule="exact"/>
        <w:rPr>
          <w:sz w:val="20"/>
          <w:szCs w:val="20"/>
          <w:color w:val="auto"/>
        </w:rPr>
      </w:pPr>
    </w:p>
    <w:p>
      <w:pPr>
        <w:ind w:right="4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75" w:lineRule="exact"/>
        <w:rPr>
          <w:sz w:val="20"/>
          <w:szCs w:val="20"/>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acquired products into our existing business;</w:t>
      </w:r>
    </w:p>
    <w:p>
      <w:pPr>
        <w:spacing w:after="0" w:line="117" w:lineRule="exact"/>
        <w:rPr>
          <w:rFonts w:ascii="Times New Roman" w:cs="Times New Roman" w:eastAsia="Times New Roman" w:hAnsi="Times New Roman"/>
          <w:sz w:val="18"/>
          <w:szCs w:val="18"/>
          <w:color w:val="auto"/>
        </w:rPr>
      </w:pPr>
    </w:p>
    <w:p>
      <w:pPr>
        <w:ind w:left="1000" w:right="980" w:hanging="493"/>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 acquired company’s technologies, services, employees, customers, partners, business operations and administrative and software management systems with ours;</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realizing the benefits of the acquired products;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time and attention from other business concerns;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customer reaction to the product acquisition;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w:t>
      </w:r>
    </w:p>
    <w:p>
      <w:pPr>
        <w:spacing w:after="0" w:line="117"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75" w:lineRule="exact"/>
        <w:rPr>
          <w:sz w:val="20"/>
          <w:szCs w:val="20"/>
          <w:color w:val="auto"/>
        </w:rPr>
      </w:pPr>
    </w:p>
    <w:p>
      <w:pPr>
        <w:ind w:right="5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51" w:lineRule="exact"/>
        <w:rPr>
          <w:sz w:val="20"/>
          <w:szCs w:val="20"/>
          <w:color w:val="auto"/>
        </w:rPr>
      </w:pPr>
    </w:p>
    <w:p>
      <w:pPr>
        <w:ind w:right="160" w:firstLine="510"/>
        <w:spacing w:after="0" w:line="254" w:lineRule="auto"/>
        <w:rPr>
          <w:sz w:val="20"/>
          <w:szCs w:val="20"/>
          <w:color w:val="auto"/>
        </w:rPr>
      </w:pPr>
      <w:r>
        <w:rPr>
          <w:rFonts w:ascii="Times New Roman" w:cs="Times New Roman" w:eastAsia="Times New Roman" w:hAnsi="Times New Roman"/>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5" w:name="page36"/>
    <w:bookmarkEnd w:id="3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depend on sole source or limited source suppliers.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sources. In addition, some of these suppliers are relatively small private companies whose operations may be disrupted or discontinued at any time. There are risks associated with the use of independent manufacturers, including the following:</w:t>
      </w:r>
    </w:p>
    <w:p>
      <w:pPr>
        <w:spacing w:after="0" w:line="75" w:lineRule="exact"/>
        <w:rPr>
          <w:sz w:val="20"/>
          <w:szCs w:val="20"/>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global supply chains and market stability;</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shortages or limitations on the ability to obtain supplies of components and products in the quantities that we require;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or failure of suppliers to deliver critical components and products on the dates we require;</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suppliers to manufacture and assemble components and products to our specifications, and potentially reduced quality;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components and products at acceptable prices.</w:t>
      </w:r>
    </w:p>
    <w:p>
      <w:pPr>
        <w:spacing w:after="0" w:line="11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were to experience catastrophic loss, our operations would be seriously harmed.</w:t>
      </w:r>
    </w:p>
    <w:p>
      <w:pPr>
        <w:spacing w:after="0" w:line="12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catastrophic wildfires, as well as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71"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72" w:lineRule="exact"/>
        <w:rPr>
          <w:sz w:val="20"/>
          <w:szCs w:val="20"/>
          <w:color w:val="auto"/>
        </w:rPr>
      </w:pPr>
    </w:p>
    <w:p>
      <w:pPr>
        <w:ind w:right="100" w:firstLine="510"/>
        <w:spacing w:after="0" w:line="256" w:lineRule="auto"/>
        <w:rPr>
          <w:sz w:val="20"/>
          <w:szCs w:val="20"/>
          <w:color w:val="auto"/>
        </w:rPr>
      </w:pPr>
      <w:r>
        <w:rPr>
          <w:rFonts w:ascii="Times New Roman" w:cs="Times New Roman" w:eastAsia="Times New Roman" w:hAnsi="Times New Roman"/>
          <w:sz w:val="18"/>
          <w:szCs w:val="18"/>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6" w:name="page37"/>
    <w:bookmarkEnd w:id="36"/>
    <w:p>
      <w:pPr>
        <w:ind w:right="20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67"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market our products to numerous health care providers, including physicians, hospitals, ASCs,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75" w:lineRule="exact"/>
        <w:rPr>
          <w:sz w:val="20"/>
          <w:szCs w:val="20"/>
          <w:color w:val="auto"/>
        </w:rPr>
      </w:pPr>
    </w:p>
    <w:p>
      <w:pPr>
        <w:ind w:right="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regulations which may cause us to delay or withdraw the introduction of new products or new applications for our products.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FDA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84"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8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75" w:lineRule="exact"/>
        <w:rPr>
          <w:sz w:val="20"/>
          <w:szCs w:val="20"/>
          <w:color w:val="auto"/>
        </w:rPr>
      </w:pPr>
    </w:p>
    <w:p>
      <w:pPr>
        <w:ind w:right="60" w:firstLine="510"/>
        <w:spacing w:after="0" w:line="253" w:lineRule="auto"/>
        <w:rPr>
          <w:sz w:val="20"/>
          <w:szCs w:val="20"/>
          <w:color w:val="auto"/>
        </w:rPr>
      </w:pPr>
      <w:r>
        <w:rPr>
          <w:rFonts w:ascii="Times New Roman" w:cs="Times New Roman" w:eastAsia="Times New Roman" w:hAnsi="Times New Roman"/>
          <w:sz w:val="18"/>
          <w:szCs w:val="18"/>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37" w:name="page38"/>
    <w:bookmarkEnd w:id="37"/>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77"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6"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51"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misused, which could harm our reputation and our business.</w:t>
      </w:r>
    </w:p>
    <w:p>
      <w:pPr>
        <w:spacing w:after="0" w:line="12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Inability of customers to obtain credit or material increases in interest rates may harm our sales.</w:t>
      </w:r>
    </w:p>
    <w:p>
      <w:pPr>
        <w:spacing w:after="0" w:line="121"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68" w:lineRule="exact"/>
        <w:rPr>
          <w:sz w:val="20"/>
          <w:szCs w:val="20"/>
          <w:color w:val="auto"/>
        </w:rPr>
      </w:pPr>
    </w:p>
    <w:p>
      <w:pPr>
        <w:ind w:right="3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5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8" w:name="page39"/>
    <w:bookmarkEnd w:id="38"/>
    <w:p>
      <w:pPr>
        <w:ind w:firstLine="510"/>
        <w:spacing w:after="0" w:line="258" w:lineRule="auto"/>
        <w:rPr>
          <w:sz w:val="20"/>
          <w:szCs w:val="20"/>
          <w:color w:val="auto"/>
        </w:rPr>
      </w:pPr>
      <w:r>
        <w:rPr>
          <w:rFonts w:ascii="Times New Roman" w:cs="Times New Roman" w:eastAsia="Times New Roman" w:hAnsi="Times New Roman"/>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75" w:lineRule="exact"/>
        <w:rPr>
          <w:sz w:val="20"/>
          <w:szCs w:val="20"/>
          <w:color w:val="auto"/>
        </w:rPr>
      </w:pPr>
    </w:p>
    <w:p>
      <w:pPr>
        <w:ind w:right="200" w:firstLine="510"/>
        <w:spacing w:after="0" w:line="256" w:lineRule="auto"/>
        <w:rPr>
          <w:sz w:val="20"/>
          <w:szCs w:val="20"/>
          <w:color w:val="auto"/>
        </w:rPr>
      </w:pPr>
      <w:r>
        <w:rPr>
          <w:rFonts w:ascii="Times New Roman" w:cs="Times New Roman" w:eastAsia="Times New Roman" w:hAnsi="Times New Roman"/>
          <w:sz w:val="18"/>
          <w:szCs w:val="18"/>
          <w:color w:val="auto"/>
        </w:rPr>
        <w:t>For example, on February 23, 2018, we initiated a worldwide voluntary recall of a specific laser accessory called the TruFocus LIO Premiere™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79" w:lineRule="exact"/>
        <w:rPr>
          <w:sz w:val="20"/>
          <w:szCs w:val="20"/>
          <w:color w:val="auto"/>
        </w:rPr>
      </w:pPr>
    </w:p>
    <w:p>
      <w:pPr>
        <w:ind w:right="20" w:firstLine="510"/>
        <w:spacing w:after="0" w:line="255" w:lineRule="auto"/>
        <w:rPr>
          <w:sz w:val="20"/>
          <w:szCs w:val="20"/>
          <w:color w:val="auto"/>
        </w:rPr>
      </w:pPr>
      <w:r>
        <w:rPr>
          <w:rFonts w:ascii="Times New Roman" w:cs="Times New Roman" w:eastAsia="Times New Roman" w:hAnsi="Times New Roman"/>
          <w:sz w:val="18"/>
          <w:szCs w:val="18"/>
          <w:color w:val="auto"/>
        </w:rPr>
        <w:t>We obtained FDA clearance for an updated TruFocus LIO Premiere™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77"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5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Significant developments resulting from recent and potential changes in United States trade policies could have a material adverse effect on us.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Certain of our materials may be subject to the effects of various trade agreements, treaties and tariffs. The current U.S. presidential administration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6"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84"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U.S. tax laws could have a material adverse effect on our business, cash flow, results of operations or financial conditions.</w:t>
      </w:r>
    </w:p>
    <w:p>
      <w:pPr>
        <w:spacing w:after="0" w:line="121" w:lineRule="exact"/>
        <w:rPr>
          <w:sz w:val="20"/>
          <w:szCs w:val="20"/>
          <w:color w:val="auto"/>
        </w:rPr>
      </w:pPr>
    </w:p>
    <w:p>
      <w:pPr>
        <w:ind w:right="240" w:firstLine="510"/>
        <w:spacing w:after="0" w:line="281" w:lineRule="auto"/>
        <w:rPr>
          <w:sz w:val="20"/>
          <w:szCs w:val="20"/>
          <w:color w:val="auto"/>
        </w:rPr>
      </w:pPr>
      <w:r>
        <w:rPr>
          <w:rFonts w:ascii="Times New Roman" w:cs="Times New Roman" w:eastAsia="Times New Roman" w:hAnsi="Times New Roman"/>
          <w:sz w:val="17"/>
          <w:szCs w:val="17"/>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56"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Company’s net operating loss carryovers and valuation allowance, there is no impact to its consolidated financial statements as a result of the accounting for the tax effects of the Tax Act.</w:t>
      </w:r>
    </w:p>
    <w:p>
      <w:pPr>
        <w:spacing w:after="0" w:line="75" w:lineRule="exact"/>
        <w:rPr>
          <w:sz w:val="20"/>
          <w:szCs w:val="20"/>
          <w:color w:val="auto"/>
        </w:rPr>
      </w:pPr>
    </w:p>
    <w:p>
      <w:pPr>
        <w:ind w:right="220" w:firstLine="510"/>
        <w:spacing w:after="0" w:line="266" w:lineRule="auto"/>
        <w:rPr>
          <w:sz w:val="20"/>
          <w:szCs w:val="20"/>
          <w:color w:val="auto"/>
        </w:rPr>
      </w:pPr>
      <w:r>
        <w:rPr>
          <w:rFonts w:ascii="Times New Roman" w:cs="Times New Roman" w:eastAsia="Times New Roman" w:hAnsi="Times New Roman"/>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64" w:lineRule="exact"/>
        <w:rPr>
          <w:sz w:val="20"/>
          <w:szCs w:val="20"/>
          <w:color w:val="auto"/>
        </w:rPr>
      </w:pPr>
    </w:p>
    <w:p>
      <w:pPr>
        <w:jc w:val="both"/>
        <w:ind w:right="58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6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78"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51" w:lineRule="exact"/>
        <w:rPr>
          <w:sz w:val="20"/>
          <w:szCs w:val="20"/>
          <w:color w:val="auto"/>
        </w:rPr>
      </w:pPr>
    </w:p>
    <w:p>
      <w:pPr>
        <w:ind w:right="40" w:firstLine="510"/>
        <w:spacing w:after="0" w:line="271" w:lineRule="auto"/>
        <w:rPr>
          <w:sz w:val="20"/>
          <w:szCs w:val="20"/>
          <w:color w:val="auto"/>
        </w:rPr>
      </w:pPr>
      <w:r>
        <w:rPr>
          <w:rFonts w:ascii="Times New Roman" w:cs="Times New Roman" w:eastAsia="Times New Roman" w:hAnsi="Times New Roman"/>
          <w:sz w:val="17"/>
          <w:szCs w:val="17"/>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61" w:lineRule="exact"/>
        <w:rPr>
          <w:sz w:val="20"/>
          <w:szCs w:val="20"/>
          <w:color w:val="auto"/>
        </w:rPr>
      </w:pPr>
    </w:p>
    <w:p>
      <w:pPr>
        <w:ind w:right="3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2011/65/EU relating to Restrictions on the Use of Certain Hazardous Substances “RoHS Directive,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40" w:name="page41"/>
    <w:bookmarkEnd w:id="40"/>
    <w:p>
      <w:pPr>
        <w:ind w:right="300" w:firstLine="510"/>
        <w:spacing w:after="0" w:line="258" w:lineRule="auto"/>
        <w:rPr>
          <w:sz w:val="20"/>
          <w:szCs w:val="20"/>
          <w:color w:val="auto"/>
        </w:rPr>
      </w:pPr>
      <w:r>
        <w:rPr>
          <w:rFonts w:ascii="Times New Roman" w:cs="Times New Roman" w:eastAsia="Times New Roman" w:hAnsi="Times New Roman"/>
          <w:sz w:val="18"/>
          <w:szCs w:val="18"/>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an investment in our common stock could suffer a decline in value.</w:t>
      </w:r>
    </w:p>
    <w:p>
      <w:pPr>
        <w:spacing w:after="0" w:line="12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third quarter of fiscal year 2020, the trading price of our common stock fluctuated from a low of $1.78 per share to a high of $2.51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stockholders will benefit from an investment in our common stock only if it appreciates in value.</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71" w:lineRule="exact"/>
        <w:rPr>
          <w:sz w:val="20"/>
          <w:szCs w:val="20"/>
          <w:color w:val="auto"/>
        </w:rPr>
      </w:pPr>
    </w:p>
    <w:p>
      <w:pPr>
        <w:ind w:right="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a few investors, which may affect the ability of a third party to acquire control of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by such investors could cause our stock price to decline.</w:t>
      </w:r>
    </w:p>
    <w:p>
      <w:pPr>
        <w:spacing w:after="0" w:line="99"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68" w:lineRule="exact"/>
        <w:rPr>
          <w:sz w:val="20"/>
          <w:szCs w:val="20"/>
          <w:color w:val="auto"/>
        </w:rPr>
      </w:pPr>
    </w:p>
    <w:p>
      <w:pPr>
        <w:jc w:val="both"/>
        <w:ind w:right="52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6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1" w:name="page42"/>
    <w:bookmarkEnd w:id="41"/>
    <w:p>
      <w:pPr>
        <w:ind w:firstLine="510"/>
        <w:spacing w:after="0" w:line="258"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75"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77" w:lineRule="exact"/>
        <w:rPr>
          <w:sz w:val="20"/>
          <w:szCs w:val="20"/>
          <w:color w:val="auto"/>
        </w:rPr>
      </w:pPr>
    </w:p>
    <w:p>
      <w:pPr>
        <w:ind w:right="2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anti-takeover provisions of Delaware law, and contractual provisions could delay or prevent an acquisition or sale of our company.</w:t>
      </w:r>
    </w:p>
    <w:p>
      <w:pPr>
        <w:spacing w:after="0" w:line="51" w:lineRule="exact"/>
        <w:rPr>
          <w:sz w:val="20"/>
          <w:szCs w:val="20"/>
          <w:color w:val="auto"/>
        </w:rPr>
      </w:pPr>
    </w:p>
    <w:p>
      <w:pPr>
        <w:ind w:right="60" w:firstLine="51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75" w:lineRule="exact"/>
        <w:rPr>
          <w:sz w:val="20"/>
          <w:szCs w:val="20"/>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directors may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is authorized to fill vacant directorships, including newly created seats;</w:t>
      </w:r>
    </w:p>
    <w:p>
      <w:pPr>
        <w:spacing w:after="0" w:line="117" w:lineRule="exact"/>
        <w:rPr>
          <w:rFonts w:ascii="Times New Roman" w:cs="Times New Roman" w:eastAsia="Times New Roman" w:hAnsi="Times New Roman"/>
          <w:sz w:val="18"/>
          <w:szCs w:val="18"/>
          <w:color w:val="auto"/>
        </w:rPr>
      </w:pPr>
    </w:p>
    <w:p>
      <w:pPr>
        <w:ind w:left="1000" w:right="500" w:hanging="493"/>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53"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propose other business; and</w:t>
      </w:r>
    </w:p>
    <w:p>
      <w:pPr>
        <w:spacing w:after="0" w:line="117" w:lineRule="exact"/>
        <w:rPr>
          <w:rFonts w:ascii="Times New Roman" w:cs="Times New Roman" w:eastAsia="Times New Roman" w:hAnsi="Times New Roman"/>
          <w:sz w:val="18"/>
          <w:szCs w:val="18"/>
          <w:color w:val="auto"/>
        </w:rPr>
      </w:pPr>
    </w:p>
    <w:p>
      <w:pPr>
        <w:ind w:left="1000" w:hanging="493"/>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cumulate votes in the election of directors.</w:t>
      </w:r>
    </w:p>
    <w:p>
      <w:pPr>
        <w:spacing w:after="0" w:line="117"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2" w:name="page43"/>
    <w:bookmarkEnd w:id="42"/>
    <w:p>
      <w:pPr>
        <w:ind w:right="4979"/>
        <w:spacing w:after="0" w:line="378" w:lineRule="auto"/>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Sales of Unregistered Securities</w:t>
      </w: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02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tcBorders>
              <w:top w:val="single" w:sz="8" w:color="auto"/>
            </w:tcBorders>
            <w:gridSpan w:val="4"/>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Certification of Principal Executive Officer pursuant to Securities Exchange Act Rules 13a-14(a) and 15d-14(a).</w:t>
              </w:r>
            </w:hyperlink>
          </w:p>
        </w:tc>
        <w:tc>
          <w:tcPr>
            <w:tcW w:w="0" w:type="dxa"/>
            <w:vAlign w:val="bottom"/>
          </w:tcPr>
          <w:p>
            <w:pPr>
              <w:spacing w:after="0"/>
              <w:rPr>
                <w:sz w:val="1"/>
                <w:szCs w:val="1"/>
                <w:color w:val="auto"/>
              </w:rPr>
            </w:pPr>
          </w:p>
        </w:tc>
      </w:tr>
      <w:tr>
        <w:trPr>
          <w:trHeight w:val="33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4"/>
          </w:tcPr>
          <w:p>
            <w:pPr>
              <w:spacing w:after="0"/>
              <w:rPr>
                <w:rFonts w:ascii="Times New Roman" w:cs="Times New Roman" w:eastAsia="Times New Roman" w:hAnsi="Times New Roman"/>
                <w:sz w:val="18"/>
                <w:szCs w:val="18"/>
                <w:u w:val="single" w:color="auto"/>
                <w:color w:val="0000EE"/>
              </w:rPr>
            </w:pPr>
            <w:hyperlink w:anchor="page47">
              <w:r>
                <w:rPr>
                  <w:rFonts w:ascii="Times New Roman" w:cs="Times New Roman" w:eastAsia="Times New Roman" w:hAnsi="Times New Roman"/>
                  <w:sz w:val="18"/>
                  <w:szCs w:val="18"/>
                  <w:u w:val="single" w:color="auto"/>
                  <w:color w:val="0000EE"/>
                </w:rPr>
                <w:t>Certification of Principal Financial Officer pursuant to Securities Exchange Act Rules 13a-14(a) and 15d-14(a).</w:t>
              </w:r>
            </w:hyperlink>
          </w:p>
        </w:tc>
        <w:tc>
          <w:tcPr>
            <w:tcW w:w="0" w:type="dxa"/>
            <w:vAlign w:val="bottom"/>
          </w:tcPr>
          <w:p>
            <w:pPr>
              <w:spacing w:after="0"/>
              <w:rPr>
                <w:sz w:val="1"/>
                <w:szCs w:val="1"/>
                <w:color w:val="auto"/>
              </w:rPr>
            </w:pPr>
          </w:p>
        </w:tc>
      </w:tr>
      <w:tr>
        <w:trPr>
          <w:trHeight w:val="29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9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8">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Sarbanes-Oxley</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4"/>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4"/>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Act of 2002.</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171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-1593850</wp:posOffset>
            </wp:positionV>
            <wp:extent cx="17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5" w:lineRule="exact"/>
        <w:rPr>
          <w:sz w:val="20"/>
          <w:szCs w:val="20"/>
          <w:color w:val="auto"/>
        </w:rPr>
      </w:pPr>
    </w:p>
    <w:p>
      <w:pPr>
        <w:ind w:left="500" w:right="120" w:hanging="492"/>
        <w:spacing w:after="0" w:line="261" w:lineRule="auto"/>
        <w:tabs>
          <w:tab w:leader="none" w:pos="5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Exhibit 32.1 and 32.2 hereto is deemed to accompany this Quarterly Report on Form 10-Q and will not be deemed “filed”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right="180" w:firstLine="510"/>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SmartKey, and EndoProbe, are our registered trademarks. G-Probe, DioPexy, DioVet, TruFocus, TrueCW, IQ 577, IQ 532, Cyclo G6, TxCell, OtoProbe, Symphony, EasyFit, Endoview, MoistAir and GreenTip product names are our trademarks. All other trademarks or trade names appearing in this Quarterly Report on Form 10-Q are the property of their respective owners.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IRIDEX Corporation (Registrant)</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2020</w:t>
            </w:r>
          </w:p>
        </w:tc>
        <w:tc>
          <w:tcPr>
            <w:tcW w:w="7540" w:type="dxa"/>
            <w:vAlign w:val="bottom"/>
            <w:gridSpan w:val="4"/>
          </w:tcPr>
          <w:p>
            <w:pPr>
              <w:ind w:left="2740"/>
              <w:spacing w:after="0"/>
              <w:rPr>
                <w:sz w:val="20"/>
                <w:szCs w:val="20"/>
                <w:color w:val="auto"/>
              </w:rPr>
            </w:pPr>
            <w:r>
              <w:rPr>
                <w:rFonts w:ascii="Times New Roman" w:cs="Times New Roman" w:eastAsia="Times New Roman" w:hAnsi="Times New Roman"/>
                <w:sz w:val="18"/>
                <w:szCs w:val="18"/>
                <w:color w:val="auto"/>
              </w:rPr>
              <w:t>By: /s/ DAVID I. BRUCE</w:t>
            </w:r>
          </w:p>
        </w:tc>
      </w:tr>
      <w:tr>
        <w:trPr>
          <w:trHeight w:val="27"/>
        </w:trPr>
        <w:tc>
          <w:tcPr>
            <w:tcW w:w="3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18"/>
        </w:trPr>
        <w:tc>
          <w:tcPr>
            <w:tcW w:w="3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David I. Bruce</w:t>
            </w:r>
          </w:p>
        </w:tc>
      </w:tr>
      <w:tr>
        <w:trPr>
          <w:trHeight w:val="216"/>
        </w:trPr>
        <w:tc>
          <w:tcPr>
            <w:tcW w:w="3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10, 2020</w:t>
            </w:r>
          </w:p>
        </w:tc>
        <w:tc>
          <w:tcPr>
            <w:tcW w:w="7540" w:type="dxa"/>
            <w:vAlign w:val="bottom"/>
            <w:gridSpan w:val="4"/>
          </w:tcPr>
          <w:p>
            <w:pPr>
              <w:ind w:left="2760"/>
              <w:spacing w:after="0"/>
              <w:rPr>
                <w:sz w:val="20"/>
                <w:szCs w:val="20"/>
                <w:color w:val="auto"/>
              </w:rPr>
            </w:pPr>
            <w:r>
              <w:rPr>
                <w:rFonts w:ascii="Times New Roman" w:cs="Times New Roman" w:eastAsia="Times New Roman" w:hAnsi="Times New Roman"/>
                <w:sz w:val="18"/>
                <w:szCs w:val="18"/>
                <w:color w:val="auto"/>
              </w:rPr>
              <w:t>By:  /s/ JAMES H. MACKANESS</w:t>
            </w:r>
          </w:p>
        </w:tc>
      </w:tr>
      <w:tr>
        <w:trPr>
          <w:trHeight w:val="191"/>
        </w:trPr>
        <w:tc>
          <w:tcPr>
            <w:tcW w:w="37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James H. Mackaness</w:t>
            </w:r>
          </w:p>
        </w:tc>
      </w:tr>
      <w:tr>
        <w:trPr>
          <w:trHeight w:val="216"/>
        </w:trPr>
        <w:tc>
          <w:tcPr>
            <w:tcW w:w="3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3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75"/>
        </w:trPr>
        <w:tc>
          <w:tcPr>
            <w:tcW w:w="3700" w:type="dxa"/>
            <w:vAlign w:val="bottom"/>
          </w:tcPr>
          <w:p>
            <w:pPr>
              <w:spacing w:after="0"/>
              <w:rPr>
                <w:sz w:val="24"/>
                <w:szCs w:val="24"/>
                <w:color w:val="auto"/>
              </w:rPr>
            </w:pPr>
          </w:p>
        </w:tc>
        <w:tc>
          <w:tcPr>
            <w:tcW w:w="312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45</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00" w:right="520" w:hanging="493"/>
        <w:spacing w:after="0" w:line="312"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00" w:right="140" w:hanging="493"/>
        <w:spacing w:after="0" w:line="266" w:lineRule="auto"/>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00"/>
        <w:spacing w:after="0" w:line="266" w:lineRule="auto"/>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520" w:right="200" w:hanging="500"/>
        <w:spacing w:after="0" w:line="266" w:lineRule="auto"/>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right="20" w:hanging="500"/>
        <w:spacing w:after="0" w:line="266" w:lineRule="auto"/>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80" w:hanging="500"/>
        <w:spacing w:after="0" w:line="266" w:lineRule="auto"/>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00"/>
        <w:spacing w:after="0" w:line="282" w:lineRule="auto"/>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00"/>
        <w:spacing w:after="0" w:line="282" w:lineRule="auto"/>
        <w:tabs>
          <w:tab w:leader="none" w:pos="15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I. BRUCE</w:t>
            </w:r>
          </w:p>
        </w:tc>
      </w:tr>
      <w:tr>
        <w:trPr>
          <w:trHeight w:val="21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David I. Bruce</w:t>
            </w:r>
          </w:p>
        </w:tc>
      </w:t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 Mackaness, certify that:</w:t>
      </w:r>
    </w:p>
    <w:p>
      <w:pPr>
        <w:spacing w:after="0" w:line="117" w:lineRule="exact"/>
        <w:rPr>
          <w:sz w:val="20"/>
          <w:szCs w:val="20"/>
          <w:color w:val="auto"/>
        </w:rPr>
      </w:pPr>
    </w:p>
    <w:p>
      <w:pPr>
        <w:ind w:left="1000" w:hanging="493"/>
        <w:spacing w:after="0"/>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IRIDEX Corporation;</w:t>
      </w:r>
    </w:p>
    <w:p>
      <w:pPr>
        <w:spacing w:after="0" w:line="117" w:lineRule="exact"/>
        <w:rPr>
          <w:rFonts w:ascii="Times New Roman" w:cs="Times New Roman" w:eastAsia="Times New Roman" w:hAnsi="Times New Roman"/>
          <w:sz w:val="18"/>
          <w:szCs w:val="18"/>
          <w:color w:val="auto"/>
        </w:rPr>
      </w:pPr>
    </w:p>
    <w:p>
      <w:pPr>
        <w:jc w:val="both"/>
        <w:ind w:left="1000" w:right="4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1000" w:right="520" w:hanging="493"/>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00" w:right="140" w:hanging="493"/>
        <w:spacing w:after="0" w:line="266"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520" w:right="140" w:hanging="500"/>
        <w:spacing w:after="0" w:line="266" w:lineRule="auto"/>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67" w:lineRule="exact"/>
        <w:rPr>
          <w:rFonts w:ascii="Times New Roman" w:cs="Times New Roman" w:eastAsia="Times New Roman" w:hAnsi="Times New Roman"/>
          <w:sz w:val="18"/>
          <w:szCs w:val="18"/>
          <w:color w:val="auto"/>
        </w:rPr>
      </w:pPr>
    </w:p>
    <w:p>
      <w:pPr>
        <w:ind w:left="1520" w:right="200" w:hanging="500"/>
        <w:spacing w:after="0" w:line="266" w:lineRule="auto"/>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520" w:right="20" w:hanging="500"/>
        <w:spacing w:after="0" w:line="266" w:lineRule="auto"/>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520" w:right="380" w:hanging="500"/>
        <w:spacing w:after="0" w:line="266" w:lineRule="auto"/>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1000" w:right="100" w:hanging="493"/>
        <w:spacing w:after="0" w:line="312" w:lineRule="auto"/>
        <w:tabs>
          <w:tab w:leader="none" w:pos="1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20" w:right="240" w:hanging="500"/>
        <w:spacing w:after="0" w:line="282" w:lineRule="auto"/>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20" w:right="520" w:hanging="500"/>
        <w:spacing w:after="0" w:line="282" w:lineRule="auto"/>
        <w:tabs>
          <w:tab w:leader="none" w:pos="15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H. MACKANESS</w:t>
            </w:r>
          </w:p>
        </w:tc>
      </w:tr>
      <w:tr>
        <w:trPr>
          <w:trHeight w:val="21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James H. Mackaness</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8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 David I. Bruce, pursuant to 18 U.S.C. Section 1350, as adopted pursuant to Section 906 of the Sarbanes-Oxley Act of 2002, certify that the Quarterly Report of IRIDEX Corporation on Form 10-Q for the fiscal quarter ended September 26, 2020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David I. Bruce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347"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I, James H. Mackaness, pursuant to 18 U.S.C. Section 1350, as adopted pursuant to Section 906 of the Sarbanes-Oxley Act of 2002, certify that the Quarterly Report of IRIDEX Corporation on Form 10-Q for the fiscal quarter ended September 26, 2020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2020</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H. MACKANESS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James H. Mackaness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lvl w:ilvl="1">
      <w:lvlJc w:val="left"/>
      <w:lvlText w:val="%2."/>
      <w:numFmt w:val="lowerLetter"/>
      <w:start w:val="1"/>
    </w:lvl>
  </w:abstractNum>
  <w:abstractNum w:abstractNumId="5">
    <w:nsid w:val="1BEFD79F"/>
    <w:multiLevelType w:val="hybridMultilevel"/>
    <w:lvl w:ilvl="0">
      <w:lvlJc w:val="left"/>
      <w:lvlText w:val="(%1)"/>
      <w:numFmt w:val="decimal"/>
      <w:start w:val="5"/>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decimal"/>
      <w:start w:val="8"/>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upperLetter"/>
      <w:start w:val="68"/>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2020-11-10T15:26:12Z</dcterms:created>
  <dcterms:modified xsi:type="dcterms:W3CDTF">2020-11-10T15:26:12Z</dcterms:modified>
</cp:coreProperties>
</file>