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irix-20230401.htm"/>
      <w:bookmarkStart w:id="1" w:name="ksirix20230401"/>
      <w:bookmarkEnd w:id="0"/>
      <w:bookmarkEnd w:id="1"/>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left"/>
        <w:rPr/>
      </w:pPr>
      <w:r>
        <w:rPr/>
        <w:t xml:space="preserve">☑ </w:t>
      </w:r>
      <w:r>
        <w:rPr>
          <w:rFonts w:ascii="Times New Roman;serif" w:hAnsi="Times New Roman;serif"/>
          <w:b/>
          <w:sz w:val="24"/>
        </w:rPr>
        <w:t>QUARTERLY REPORT PURSUANT TO SECTION 13 OR 15(d) OF THE SECURITIES EXCHANGE ACT OF 1934</w:t>
      </w:r>
    </w:p>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April 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80" w:after="0"/>
        <w:jc w:val="left"/>
        <w:rPr/>
      </w:pPr>
      <w:r>
        <w:rPr/>
        <w:t xml:space="preserve">☐ </w:t>
      </w:r>
      <w:r>
        <w:rPr>
          <w:rFonts w:ascii="Times New Roman;serif" w:hAnsi="Times New Roman;serif"/>
          <w:b/>
          <w:sz w:val="24"/>
        </w:rPr>
        <w:t>TRANSITION REPORT PURSUANT TO SECTION 13 OR 15(d) OF THE SECURITIES EXCHANGE ACT OF 1934</w:t>
      </w:r>
    </w:p>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0-27598</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48"/>
        </w:rPr>
      </w:pPr>
      <w:r>
        <w:rPr>
          <w:rFonts w:ascii="Times New Roman;serif" w:hAnsi="Times New Roman;serif"/>
          <w:b/>
          <w:sz w:val="48"/>
        </w:rPr>
        <w:t>IRIDEX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77-0210467</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Number)</w:t>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192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1212 Terra Bella Avenue</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Mountain View, California</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94043-1824</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(650) 940-4700</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Name of Exchange on Which Registered</w:t>
            </w:r>
          </w:p>
        </w:tc>
      </w:tr>
      <w:tr>
        <w:trPr/>
        <w:tc>
          <w:tcPr>
            <w:tcW w:w="34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vAlign w:val="center"/>
          </w:tcPr>
          <w:p>
            <w:pPr>
              <w:pStyle w:val="TableContents"/>
              <w:bidi w:val="0"/>
              <w:spacing w:before="0" w:after="0"/>
              <w:ind w:left="0" w:right="0" w:hanging="0"/>
              <w:jc w:val="center"/>
              <w:rPr/>
            </w:pPr>
            <w:r>
              <w:rPr/>
              <w:t> </w:t>
            </w:r>
          </w:p>
        </w:tc>
        <w:tc>
          <w:tcPr>
            <w:tcW w:w="14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IRIX</w:t>
            </w:r>
          </w:p>
        </w:tc>
        <w:tc>
          <w:tcPr>
            <w:tcW w:w="146" w:type="dxa"/>
            <w:tcBorders/>
            <w:vAlign w:val="center"/>
          </w:tcPr>
          <w:p>
            <w:pPr>
              <w:pStyle w:val="TableContents"/>
              <w:bidi w:val="0"/>
              <w:spacing w:before="0" w:after="0"/>
              <w:ind w:left="0" w:right="0" w:hanging="0"/>
              <w:jc w:val="center"/>
              <w:rPr/>
            </w:pPr>
            <w:r>
              <w:rPr/>
              <w:t> </w:t>
            </w:r>
          </w:p>
        </w:tc>
        <w:tc>
          <w:tcPr>
            <w:tcW w:w="34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number of shares of common stock, $0.01 par value, issued and outstanding as of May 4, 2023 was 16,007,161.</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8800"/>
        <w:gridCol w:w="512"/>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283"/>
              <w:ind w:left="0" w:right="0" w:hanging="0"/>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9693"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1_condensed_consolidated_financial_">
              <w:r>
                <w:rPr>
                  <w:rStyle w:val="InternetLink"/>
                  <w:rFonts w:ascii="Times New Roman;serif" w:hAnsi="Times New Roman;serif"/>
                  <w:b w:val="false"/>
                  <w:sz w:val="20"/>
                  <w:u w:val="single"/>
                </w:rPr>
                <w:t>Condensed Consolidated Financial Statements (Unaudited)</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Unaudited Condensed Consolidated Balance Sheets as of April 1, 2023 and December 31,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Unaudited Condensed Consolidated Statements of Operations for the three months ended April 1, 2023 and April 2,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condensed_consolidated_statements_compre">
              <w:r>
                <w:rPr>
                  <w:rStyle w:val="InternetLink"/>
                  <w:rFonts w:ascii="Times New Roman;serif" w:hAnsi="Times New Roman;serif"/>
                  <w:b w:val="false"/>
                  <w:sz w:val="20"/>
                  <w:u w:val="single"/>
                </w:rPr>
                <w:t>Unaudited Condensed Consolidated Statements of Comprehensive Loss for the three months ended April 1, 2023 and April 2, 2022</w:t>
              </w:r>
            </w:hyperlink>
            <w:r>
              <w:rPr>
                <w:rFonts w:ascii="Times New Roman" w:hAnsi="Times New Roman"/>
                <w:sz w:val="20"/>
              </w:rPr>
              <w:t xml:space="preserve">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condensed_consolidated_statements_stockh">
              <w:r>
                <w:rPr>
                  <w:rStyle w:val="InternetLink"/>
                  <w:rFonts w:ascii="Times New Roman;serif" w:hAnsi="Times New Roman;serif"/>
                  <w:b w:val="false"/>
                  <w:sz w:val="20"/>
                  <w:u w:val="single"/>
                </w:rPr>
                <w:t>Unaudited Condensed Consolidated Statements of Stockholders’ Equity for the three months ended April 1, 2023 and April 2,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Unaudited Condensed Consolidated Statements of Cash Flows for the three months ended April 1, 2023 and April 2,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9693"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7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00"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9693"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 REGARDING FORWARD-LOOKING STATEMENTS</w:t>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macroeconomic conditions, including impact of the COVID-19 pandemic, foreign exchange fluctuation, inflation concerns, rising interest rates and recessionary fears, potential federal debt default and uncertainty in the global banking and financial services market, on our business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customer acceptance and purchase of our existing products and new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and expand our customer base;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competition from other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foreign currency exchange rate and interest rate fluctuations on our results and sales;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pace of change and innovation in the markets in which we participate and the competitive nature of those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strategy and our plan to build our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effectively manage our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our strategic partnership with Topcon Corporation;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costs of manufacturing and reliance on third 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forecast and meet product demand;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discover defects in our products and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international expansion and sales strategy;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operating results and cash flows;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beliefs and objectives for future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relationships with third parties;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protect, and enhance our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protect, and enhance our information technology systems and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facilities in good working order;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recover the carrying value of goodwill;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expensing stock options and other equity awards;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defend litigation brought against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indemnify our directors and officers;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repay indebtedness and have indebtedness forgiven;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expand in our existing markets and into new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sufficiency of cash to meet cash needs for at least the next 12 months;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comply with laws, policies, and regulations that currently apply or become applicable to our business both in the United States and internationally;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attract and retain qualified employees and key personnel, and source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raise additional capital;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future trading prices of our common stock;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pay dividends in the future.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used in this Quarterly Report on Form 10-Q, the terms “Company,” “IRIDEX,” “we,” “us” and “our” refer to IRIDEX Corporation, and its consolidated subsidiaries.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 w:name="part_i_financial_information"/>
      <w:bookmarkEnd w:id="2"/>
      <w:r>
        <w:rPr>
          <w:rFonts w:ascii="Times New Roman;serif" w:hAnsi="Times New Roman;serif"/>
          <w:b/>
          <w:sz w:val="20"/>
        </w:rPr>
        <w:t>PART I. FINANCIAL INFORMATION</w:t>
      </w:r>
    </w:p>
    <w:p>
      <w:pPr>
        <w:pStyle w:val="TextBody"/>
        <w:bidi w:val="0"/>
        <w:spacing w:before="120" w:after="0"/>
        <w:jc w:val="left"/>
        <w:rPr>
          <w:rFonts w:ascii="Times New Roman;serif" w:hAnsi="Times New Roman;serif"/>
          <w:b/>
          <w:sz w:val="20"/>
        </w:rPr>
      </w:pPr>
      <w:bookmarkStart w:id="3" w:name="item_1_condensed_consolidated_financial_"/>
      <w:bookmarkEnd w:id="3"/>
      <w:r>
        <w:rPr>
          <w:rFonts w:ascii="Times New Roman;serif" w:hAnsi="Times New Roman;serif"/>
          <w:b/>
          <w:sz w:val="20"/>
        </w:rPr>
        <w:t>Item 1. Condensed Consolidated Financial Statements (Unaudited)</w:t>
      </w:r>
    </w:p>
    <w:p>
      <w:pPr>
        <w:pStyle w:val="TextBody"/>
        <w:bidi w:val="0"/>
        <w:spacing w:before="12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909"/>
        <w:gridCol w:w="146"/>
        <w:gridCol w:w="228"/>
        <w:gridCol w:w="796"/>
        <w:gridCol w:w="166"/>
        <w:gridCol w:w="146"/>
        <w:gridCol w:w="316"/>
        <w:gridCol w:w="1104"/>
        <w:gridCol w:w="394"/>
      </w:tblGrid>
      <w:tr>
        <w:trPr/>
        <w:tc>
          <w:tcPr>
            <w:tcW w:w="6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December 31, 2022 </w:t>
            </w:r>
            <w:r>
              <w:rPr>
                <w:rFonts w:ascii="Times New Roman;serif" w:hAnsi="Times New Roman;serif"/>
                <w:b/>
                <w:sz w:val="11"/>
              </w:rPr>
              <w:t>(1)</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09"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13,922</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credit losses of $146</w:t>
            </w:r>
            <w:r>
              <w:rPr>
                <w:rFonts w:ascii="Times New Roman" w:hAnsi="Times New Roman"/>
                <w:sz w:val="20"/>
              </w:rPr>
              <w:t> </w:t>
            </w:r>
            <w:r>
              <w:rPr>
                <w:rFonts w:ascii="Times New Roman;serif" w:hAnsi="Times New Roman;serif"/>
                <w:b w:val="false"/>
                <w:sz w:val="20"/>
              </w:rPr>
              <w:t>as of April 1, 2023 and $0</w:t>
            </w:r>
            <w:r>
              <w:rPr>
                <w:rFonts w:ascii="Times New Roman" w:hAnsi="Times New Roman"/>
                <w:sz w:val="20"/>
              </w:rPr>
              <w:t> </w:t>
            </w:r>
            <w:r>
              <w:rPr>
                <w:rFonts w:ascii="Times New Roman;serif" w:hAnsi="Times New Roman;serif"/>
                <w:b w:val="false"/>
                <w:sz w:val="20"/>
              </w:rPr>
              <w:t>as of December 31, 2022</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6,229</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Receivable from related party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3,539</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10,608</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35,766</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1,665</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1,455</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42,290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3,858</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Payable to related party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12,453</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liabilities: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11,742</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394" w:type="dxa"/>
            <w:tcBorders/>
            <w:vAlign w:val="center"/>
          </w:tcPr>
          <w:p>
            <w:pPr>
              <w:pStyle w:val="TableContents"/>
              <w:bidi w:val="0"/>
              <w:spacing w:before="0" w:after="0"/>
              <w:ind w:left="0" w:right="0" w:firstLine="200"/>
              <w:jc w:val="left"/>
              <w:rPr/>
            </w:pPr>
            <w:r>
              <w:rPr/>
              <w:t> </w:t>
            </w:r>
          </w:p>
        </w:tc>
      </w:tr>
      <w:tr>
        <w:trPr/>
        <w:tc>
          <w:tcPr>
            <w:tcW w:w="69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25,059</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8)</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0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2,000,000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and outstanding</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0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Authorized: 30,000,000</w:t>
            </w:r>
            <w:r>
              <w:rPr>
                <w:rFonts w:ascii="Times New Roman" w:hAnsi="Times New Roman"/>
                <w:sz w:val="20"/>
              </w:rPr>
              <w:t> </w:t>
            </w:r>
            <w:r>
              <w:rPr>
                <w:rFonts w:ascii="Times New Roman;serif" w:hAnsi="Times New Roman;serif"/>
                <w:b w:val="false"/>
                <w:sz w:val="20"/>
              </w:rPr>
              <w:t>shares;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0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Issued and outstanding 16,007,161</w:t>
            </w:r>
            <w:r>
              <w:rPr>
                <w:rFonts w:ascii="Times New Roman" w:hAnsi="Times New Roman"/>
                <w:sz w:val="20"/>
              </w:rPr>
              <w:t> </w:t>
            </w:r>
            <w:r>
              <w:rPr>
                <w:rFonts w:ascii="Times New Roman;serif" w:hAnsi="Times New Roman;serif"/>
                <w:b w:val="false"/>
                <w:sz w:val="20"/>
              </w:rPr>
              <w:t>and 15,989,662</w:t>
            </w:r>
            <w:r>
              <w:rPr>
                <w:rFonts w:ascii="Times New Roman" w:hAnsi="Times New Roman"/>
                <w:sz w:val="20"/>
              </w:rPr>
              <w:t> </w:t>
            </w:r>
            <w:r>
              <w:rPr>
                <w:rFonts w:ascii="Times New Roman;serif" w:hAnsi="Times New Roman;serif"/>
                <w:b w:val="false"/>
                <w:sz w:val="20"/>
              </w:rPr>
              <w:t>shares as of April 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86,802</w:t>
            </w:r>
          </w:p>
        </w:tc>
        <w:tc>
          <w:tcPr>
            <w:tcW w:w="394" w:type="dxa"/>
            <w:tcBorders/>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(69,716</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17,231</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42,290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7"/>
        </w:rPr>
      </w:pPr>
      <w:r>
        <w:rPr>
          <w:rFonts w:ascii="Times New Roman" w:hAnsi="Times New Roman"/>
          <w:b w:val="false"/>
          <w:sz w:val="17"/>
        </w:rPr>
        <w:t>(1)</w:t>
      </w:r>
    </w:p>
    <w:p>
      <w:pPr>
        <w:pStyle w:val="TextBody"/>
        <w:bidi w:val="0"/>
        <w:spacing w:before="0" w:after="0"/>
        <w:jc w:val="left"/>
        <w:rPr>
          <w:rFonts w:ascii="Times New Roman;serif" w:hAnsi="Times New Roman;serif"/>
          <w:b w:val="false"/>
          <w:sz w:val="17"/>
        </w:rPr>
      </w:pPr>
      <w:r>
        <w:rPr>
          <w:rFonts w:ascii="Times New Roman;serif" w:hAnsi="Times New Roman;serif"/>
          <w:b w:val="false"/>
          <w:sz w:val="17"/>
        </w:rPr>
        <w:t>Derived from the audited consolidated financial statements included in the Annual Report on Form 10-K filed with the SEC for the year ended December 31, 2022.</w:t>
      </w:r>
    </w:p>
    <w:p>
      <w:pPr>
        <w:pStyle w:val="TextBody"/>
        <w:bidi w:val="0"/>
        <w:spacing w:before="0" w:after="0"/>
        <w:jc w:val="left"/>
        <w:rPr>
          <w:rFonts w:ascii="Times New Roman" w:hAnsi="Times New Roman"/>
          <w:b w:val="false"/>
          <w:sz w:val="17"/>
        </w:rPr>
      </w:pPr>
      <w:r>
        <w:rPr>
          <w:rFonts w:ascii="Times New Roman" w:hAnsi="Times New Roman"/>
          <w:b w:val="false"/>
          <w:sz w:val="17"/>
        </w:rPr>
        <w:t>(2)</w:t>
      </w:r>
    </w:p>
    <w:p>
      <w:pPr>
        <w:pStyle w:val="TextBody"/>
        <w:bidi w:val="0"/>
        <w:jc w:val="left"/>
        <w:rPr>
          <w:rFonts w:ascii="Times New Roman;serif" w:hAnsi="Times New Roman;serif"/>
          <w:b w:val="false"/>
          <w:sz w:val="17"/>
        </w:rPr>
      </w:pPr>
      <w:r>
        <w:rPr>
          <w:rFonts w:ascii="Times New Roman;serif" w:hAnsi="Times New Roman;serif"/>
          <w:b w:val="false"/>
          <w:sz w:val="17"/>
        </w:rPr>
        <w:t>Prior to our adoption of Accounting Standard Update 2016-13, “Financial Instruments-Credit Losses (Topic 326): Measurement of Credit Losses on Financial Instruments” on January 1, 2023, the allowance for credit losses related to accounts receivable was not applicable and is therefore presented as $0 at December 31, 2022. See Note 3 for additional details.</w:t>
      </w:r>
    </w:p>
    <w:p>
      <w:pPr>
        <w:pStyle w:val="TextBody"/>
        <w:bidi w:val="0"/>
        <w:spacing w:before="8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5" w:name="iridex_corporation"/>
      <w:bookmarkEnd w:id="5"/>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6" w:name="condensed_consolidated_statements_operat"/>
      <w:bookmarkEnd w:id="6"/>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per share data)</w:t>
      </w:r>
    </w:p>
    <w:p>
      <w:pPr>
        <w:pStyle w:val="TextBody"/>
        <w:bidi w:val="0"/>
        <w:spacing w:before="0" w:after="0"/>
        <w:jc w:val="left"/>
        <w:rPr/>
      </w:pPr>
      <w:r>
        <w:rPr/>
        <w:t> </w:t>
      </w:r>
    </w:p>
    <w:tbl>
      <w:tblPr>
        <w:tblW w:w="8175" w:type="dxa"/>
        <w:jc w:val="left"/>
        <w:tblInd w:w="0" w:type="dxa"/>
        <w:tblLayout w:type="fixed"/>
        <w:tblCellMar>
          <w:top w:w="28" w:type="dxa"/>
          <w:left w:w="28" w:type="dxa"/>
          <w:bottom w:w="28" w:type="dxa"/>
          <w:right w:w="28" w:type="dxa"/>
        </w:tblCellMar>
      </w:tblPr>
      <w:tblGrid>
        <w:gridCol w:w="5176"/>
        <w:gridCol w:w="146"/>
        <w:gridCol w:w="253"/>
        <w:gridCol w:w="812"/>
        <w:gridCol w:w="166"/>
        <w:gridCol w:w="146"/>
        <w:gridCol w:w="253"/>
        <w:gridCol w:w="812"/>
        <w:gridCol w:w="41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13,387</w:t>
            </w:r>
          </w:p>
        </w:tc>
        <w:tc>
          <w:tcPr>
            <w:tcW w:w="411" w:type="dxa"/>
            <w:tcBorders/>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w:t>
            </w:r>
          </w:p>
        </w:tc>
        <w:tc>
          <w:tcPr>
            <w:tcW w:w="411" w:type="dxa"/>
            <w:tcBorders/>
            <w:vAlign w:val="center"/>
          </w:tcPr>
          <w:p>
            <w:pPr>
              <w:pStyle w:val="TableContents"/>
              <w:bidi w:val="0"/>
              <w:spacing w:before="0" w:after="0"/>
              <w:ind w:left="0" w:right="0" w:firstLine="200"/>
              <w:jc w:val="left"/>
              <w:rPr/>
            </w:pPr>
            <w:r>
              <w:rPr/>
              <w:t> </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4,300</w:t>
            </w:r>
          </w:p>
        </w:tc>
        <w:tc>
          <w:tcPr>
            <w:tcW w:w="411" w:type="dxa"/>
            <w:tcBorders/>
            <w:vAlign w:val="center"/>
          </w:tcPr>
          <w:p>
            <w:pPr>
              <w:pStyle w:val="TableContents"/>
              <w:bidi w:val="0"/>
              <w:spacing w:before="0" w:after="0"/>
              <w:ind w:left="0" w:right="0" w:firstLine="200"/>
              <w:jc w:val="left"/>
              <w:rPr/>
            </w:pPr>
            <w:r>
              <w:rPr/>
              <w:t> </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 before provision for income taxes</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used in computing net loss per share:</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7" w:name="condensed_consolidated_statements_compre"/>
      <w:bookmarkEnd w:id="7"/>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6235" w:type="dxa"/>
        <w:jc w:val="left"/>
        <w:tblInd w:w="0" w:type="dxa"/>
        <w:tblLayout w:type="fixed"/>
        <w:tblCellMar>
          <w:top w:w="28" w:type="dxa"/>
          <w:left w:w="28" w:type="dxa"/>
          <w:bottom w:w="28" w:type="dxa"/>
          <w:right w:w="28" w:type="dxa"/>
        </w:tblCellMar>
      </w:tblPr>
      <w:tblGrid>
        <w:gridCol w:w="3436"/>
        <w:gridCol w:w="146"/>
        <w:gridCol w:w="267"/>
        <w:gridCol w:w="798"/>
        <w:gridCol w:w="166"/>
        <w:gridCol w:w="146"/>
        <w:gridCol w:w="267"/>
        <w:gridCol w:w="798"/>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8" w:name="condensed_consolidated_statements_stockh"/>
      <w:bookmarkEnd w:id="8"/>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60"/>
        <w:gridCol w:w="146"/>
        <w:gridCol w:w="146"/>
        <w:gridCol w:w="916"/>
        <w:gridCol w:w="146"/>
        <w:gridCol w:w="146"/>
        <w:gridCol w:w="236"/>
        <w:gridCol w:w="455"/>
        <w:gridCol w:w="146"/>
        <w:gridCol w:w="146"/>
        <w:gridCol w:w="214"/>
        <w:gridCol w:w="657"/>
        <w:gridCol w:w="146"/>
        <w:gridCol w:w="146"/>
        <w:gridCol w:w="439"/>
        <w:gridCol w:w="777"/>
        <w:gridCol w:w="166"/>
        <w:gridCol w:w="146"/>
        <w:gridCol w:w="240"/>
        <w:gridCol w:w="811"/>
        <w:gridCol w:w="166"/>
        <w:gridCol w:w="146"/>
        <w:gridCol w:w="196"/>
        <w:gridCol w:w="601"/>
        <w:gridCol w:w="211"/>
      </w:tblGrid>
      <w:tr>
        <w:trPr/>
        <w:tc>
          <w:tcPr>
            <w:tcW w:w="2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April 1, 2023</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15,989,662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(69,716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17,231</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Adoption of ASU 2016-13</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stock option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473</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(2,090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April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16,007,161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87,312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(71,562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60"/>
        <w:gridCol w:w="146"/>
        <w:gridCol w:w="146"/>
        <w:gridCol w:w="916"/>
        <w:gridCol w:w="146"/>
        <w:gridCol w:w="146"/>
        <w:gridCol w:w="236"/>
        <w:gridCol w:w="455"/>
        <w:gridCol w:w="146"/>
        <w:gridCol w:w="146"/>
        <w:gridCol w:w="214"/>
        <w:gridCol w:w="657"/>
        <w:gridCol w:w="166"/>
        <w:gridCol w:w="146"/>
        <w:gridCol w:w="494"/>
        <w:gridCol w:w="722"/>
        <w:gridCol w:w="146"/>
        <w:gridCol w:w="146"/>
        <w:gridCol w:w="240"/>
        <w:gridCol w:w="811"/>
        <w:gridCol w:w="166"/>
        <w:gridCol w:w="146"/>
        <w:gridCol w:w="196"/>
        <w:gridCol w:w="601"/>
        <w:gridCol w:w="211"/>
      </w:tblGrid>
      <w:tr>
        <w:trPr/>
        <w:tc>
          <w:tcPr>
            <w:tcW w:w="2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April 2, 2022</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15,876,171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23,299</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stock option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Release of restricted stock, net of taxes paid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April 2,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15,885,307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85,645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(64,560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21,326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9" w:name="condensed_consolidated_statements_cash_f"/>
      <w:bookmarkEnd w:id="9"/>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51"/>
        <w:gridCol w:w="808"/>
        <w:gridCol w:w="166"/>
        <w:gridCol w:w="146"/>
        <w:gridCol w:w="251"/>
        <w:gridCol w:w="808"/>
        <w:gridCol w:w="613"/>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6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provided by operating activities:</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613" w:type="dxa"/>
            <w:tcBorders/>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operating lease right-of-use assets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613" w:type="dxa"/>
            <w:tcBorders/>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613" w:type="dxa"/>
            <w:tcBorders/>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400"/>
              <w:jc w:val="righ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Receivable from related party</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613" w:type="dxa"/>
            <w:tcBorders/>
            <w:vAlign w:val="center"/>
          </w:tcPr>
          <w:p>
            <w:pPr>
              <w:pStyle w:val="TableContents"/>
              <w:bidi w:val="0"/>
              <w:spacing w:before="0" w:after="0"/>
              <w:ind w:left="0" w:right="0" w:firstLine="400"/>
              <w:jc w:val="lef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Payable to related party</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613" w:type="dxa"/>
            <w:tcBorders/>
            <w:vAlign w:val="center"/>
          </w:tcPr>
          <w:p>
            <w:pPr>
              <w:pStyle w:val="TableContents"/>
              <w:bidi w:val="0"/>
              <w:spacing w:before="0" w:after="0"/>
              <w:ind w:left="0" w:right="0" w:firstLine="400"/>
              <w:jc w:val="lef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613" w:type="dxa"/>
            <w:tcBorders/>
            <w:vAlign w:val="center"/>
          </w:tcPr>
          <w:p>
            <w:pPr>
              <w:pStyle w:val="TableContents"/>
              <w:bidi w:val="0"/>
              <w:spacing w:before="0" w:after="0"/>
              <w:ind w:left="0" w:right="0" w:firstLine="400"/>
              <w:jc w:val="lef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613" w:type="dxa"/>
            <w:tcBorders/>
            <w:vAlign w:val="center"/>
          </w:tcPr>
          <w:p>
            <w:pPr>
              <w:pStyle w:val="TableContents"/>
              <w:bidi w:val="0"/>
              <w:spacing w:before="0" w:after="0"/>
              <w:ind w:left="0" w:right="0" w:firstLine="400"/>
              <w:jc w:val="lef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1,602</w:t>
            </w:r>
          </w:p>
        </w:tc>
        <w:tc>
          <w:tcPr>
            <w:tcW w:w="613" w:type="dxa"/>
            <w:tcBorders/>
            <w:vAlign w:val="center"/>
          </w:tcPr>
          <w:p>
            <w:pPr>
              <w:pStyle w:val="TableContents"/>
              <w:bidi w:val="0"/>
              <w:spacing w:before="0" w:after="0"/>
              <w:ind w:left="0" w:right="0" w:firstLine="400"/>
              <w:jc w:val="lef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(3,253</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400"/>
              <w:jc w:val="righ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Acquisition of property and equipment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400"/>
              <w:jc w:val="righ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Proceeds from stock option exercises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3" w:type="dxa"/>
            <w:tcBorders/>
            <w:vAlign w:val="center"/>
          </w:tcPr>
          <w:p>
            <w:pPr>
              <w:pStyle w:val="TableContents"/>
              <w:bidi w:val="0"/>
              <w:spacing w:before="0" w:after="0"/>
              <w:ind w:left="0" w:right="0" w:firstLine="400"/>
              <w:jc w:val="left"/>
              <w:rPr/>
            </w:pPr>
            <w:r>
              <w:rPr/>
              <w:t> </w:t>
            </w:r>
          </w:p>
        </w:tc>
      </w:tr>
      <w:tr>
        <w:trPr/>
        <w:tc>
          <w:tcPr>
            <w:tcW w:w="70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Taxes paid related to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foreign exchange rate changes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(3,231</w:t>
            </w:r>
          </w:p>
        </w:tc>
        <w:tc>
          <w:tcPr>
            <w:tcW w:w="6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20,621</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activities:</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9"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70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Transfer of inventory to (from) property and equipment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6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10" w:name="notes_to_unaudited_condensed_consolidate"/>
      <w:bookmarkEnd w:id="10"/>
      <w:r>
        <w:rPr>
          <w:rFonts w:ascii="Times New Roman;serif" w:hAnsi="Times New Roman;serif"/>
          <w:b/>
          <w:sz w:val="20"/>
        </w:rPr>
        <w:t>Notes to Unaudited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 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31, 2022, which was filed with the SEC on March 9, 2023. The results of operations for the three months ended April 1, 2023 and April 2, 2022 are not necessarily indicative of the results for the fiscal year ending December 30, 2023 or any future interim period. The three months ended April 1, 2023 and April 2, 2022</w:t>
      </w:r>
      <w:r>
        <w:rPr>
          <w:rFonts w:ascii="Times New Roman" w:hAnsi="Times New Roman"/>
          <w:sz w:val="20"/>
        </w:rPr>
        <w:t xml:space="preserve"> </w:t>
      </w:r>
      <w:r>
        <w:rPr>
          <w:rFonts w:ascii="Times New Roman;serif" w:hAnsi="Times New Roman;serif"/>
          <w:b w:val="false"/>
          <w:sz w:val="20"/>
        </w:rPr>
        <w:t>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bidi w:val="0"/>
        <w:spacing w:before="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significant accounting policies are disclosed in our Annual Report on Form 10-K for the year ended December 31, 2022, which was filed with the SEC on March 9, 2023.</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Financial Statement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financial statements include the accounts of the Company and our wholly owned subsidiaries. All significant intercompany accounts and transactions have been eliminated in consolidation.</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Revenue Recognition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the following revenue transaction types: (1) Product Sale Only, (2) Service Contracts, (3) System Repairs (outside of warranty), (4) Royalty Revenue and (5) Exclusive Distribution Rights.</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from product sale at a point in time subject to the allocation of transaction price to additional performance obligations, if any.</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Service Contracts: The Company offers a standard two-year warranty on all system sales. The Company also offers a service contract which is sold to customers in incremental, one-year</w:t>
      </w:r>
      <w:r>
        <w:rPr>
          <w:rFonts w:ascii="Times New Roman;serif" w:hAnsi="Times New Roman;serif"/>
          <w:sz w:val="24"/>
        </w:rPr>
        <w:t xml:space="preserve"> </w:t>
      </w:r>
      <w:r>
        <w:rPr>
          <w:rFonts w:ascii="Times New Roman;serif" w:hAnsi="Times New Roman;serif"/>
          <w:b w:val="false"/>
          <w:sz w:val="20"/>
        </w:rPr>
        <w:t xml:space="preserve">periods which begin subsequent to the expiration of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standard two-year warranty. The customer can opt to purchase the service contract at the time of the system sale or after the initial system sale.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rFonts w:ascii="Times New Roman;serif" w:hAnsi="Times New Roman;serif"/>
          <w:sz w:val="24"/>
        </w:rPr>
        <w:t xml:space="preserve"> </w:t>
      </w:r>
      <w:r>
        <w:rPr>
          <w:rFonts w:ascii="Times New Roman;serif" w:hAnsi="Times New Roman;serif"/>
          <w:b w:val="false"/>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Royalty Revenue: The Company has royalty agreements with four</w:t>
      </w:r>
      <w:r>
        <w:rPr>
          <w:rFonts w:ascii="Times New Roman;serif" w:hAnsi="Times New Roman;serif"/>
          <w:sz w:val="24"/>
        </w:rPr>
        <w:t xml:space="preserve"> </w:t>
      </w:r>
      <w:r>
        <w:rPr>
          <w:rFonts w:ascii="Times New Roman;serif" w:hAnsi="Times New Roman;serif"/>
          <w:b w:val="false"/>
          <w:sz w:val="20"/>
        </w:rPr>
        <w:t>customers related to sale of the Company’s intellectual property. Under the terms of these agreements, three customers are to remit a percentage of sales to the Company as the sales occur and one customer made an upfront prepayment for royalties.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w:t>
      </w:r>
      <w:r>
        <w:rPr>
          <w:rFonts w:ascii="Times New Roman;serif" w:hAnsi="Times New Roman;serif"/>
          <w:sz w:val="24"/>
        </w:rPr>
        <w:t xml:space="preserve"> </w:t>
      </w:r>
      <w:r>
        <w:rPr>
          <w:rFonts w:ascii="Times New Roman;serif" w:hAnsi="Times New Roman;serif"/>
          <w:b w:val="false"/>
          <w:sz w:val="20"/>
        </w:rPr>
        <w:t>million. Of this amount, management has fully-constrained and returned to Topcon the arrangement fee allocated to Belarus (approximately $0.2</w:t>
      </w:r>
      <w:r>
        <w:rPr>
          <w:rFonts w:ascii="Times New Roman;serif" w:hAnsi="Times New Roman;serif"/>
          <w:sz w:val="24"/>
        </w:rPr>
        <w:t xml:space="preserve"> </w:t>
      </w:r>
      <w:r>
        <w:rPr>
          <w:rFonts w:ascii="Times New Roman;serif" w:hAnsi="Times New Roman;serif"/>
          <w:b w:val="false"/>
          <w:sz w:val="20"/>
        </w:rPr>
        <w:t>million) because obtaining the necessary regulatory approvals and termination of existing distributor relationship was not feasible. For the three months ended April 1, 2023 and April 2, 2022, $0.4</w:t>
      </w:r>
      <w:r>
        <w:rPr>
          <w:rFonts w:ascii="Times New Roman;serif" w:hAnsi="Times New Roman;serif"/>
          <w:sz w:val="24"/>
        </w:rPr>
        <w:t xml:space="preserve"> </w:t>
      </w:r>
      <w:r>
        <w:rPr>
          <w:rFonts w:ascii="Times New Roman;serif" w:hAnsi="Times New Roman;serif"/>
          <w:b w:val="false"/>
          <w:sz w:val="20"/>
        </w:rPr>
        <w:t>million and $0.3</w:t>
      </w:r>
      <w:r>
        <w:rPr>
          <w:rFonts w:ascii="Times New Roman;serif" w:hAnsi="Times New Roman;serif"/>
          <w:sz w:val="24"/>
        </w:rPr>
        <w:t xml:space="preserve"> </w:t>
      </w:r>
      <w:r>
        <w:rPr>
          <w:rFonts w:ascii="Times New Roman;serif" w:hAnsi="Times New Roman;serif"/>
          <w:b w:val="false"/>
          <w:sz w:val="20"/>
        </w:rPr>
        <w:t>million in revenue related to the exclusive distribution rights was recorded,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Costs of Obtaining Revenue Contracts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from 2</w:t>
      </w:r>
      <w:r>
        <w:rPr>
          <w:rFonts w:ascii="Times New Roman" w:hAnsi="Times New Roman"/>
          <w:sz w:val="20"/>
        </w:rPr>
        <w:t xml:space="preserve"> </w:t>
      </w:r>
      <w:r>
        <w:rPr>
          <w:rFonts w:ascii="Times New Roman;serif" w:hAnsi="Times New Roman;serif"/>
          <w:b w:val="false"/>
          <w:sz w:val="20"/>
        </w:rPr>
        <w:t>to 3</w:t>
      </w:r>
      <w:r>
        <w:rPr>
          <w:rFonts w:ascii="Times New Roman" w:hAnsi="Times New Roman"/>
          <w:sz w:val="20"/>
        </w:rPr>
        <w:t xml:space="preserve"> </w:t>
      </w:r>
      <w:r>
        <w:rPr>
          <w:rFonts w:ascii="Times New Roman;serif" w:hAnsi="Times New Roman;serif"/>
          <w:b w:val="false"/>
          <w:sz w:val="20"/>
        </w:rPr>
        <w:t>years. As of April 1, 2023, the Company recognized deferred costs incurred to obtain revenue contracts with customers, net of accumulated amortization, of $149</w:t>
      </w:r>
      <w:r>
        <w:rPr>
          <w:rFonts w:ascii="Times New Roman" w:hAnsi="Times New Roman"/>
          <w:sz w:val="20"/>
        </w:rPr>
        <w:t xml:space="preserve"> </w:t>
      </w:r>
      <w:r>
        <w:rPr>
          <w:rFonts w:ascii="Times New Roman;serif" w:hAnsi="Times New Roman;serif"/>
          <w:b w:val="false"/>
          <w:sz w:val="20"/>
        </w:rPr>
        <w:t>thousand, and included these amounts in Prepaid expenses and other current assets and Other long-term assets in the Company’s condensed consolidated balance sheets. Amortization expense was $19</w:t>
      </w:r>
      <w:r>
        <w:rPr>
          <w:rFonts w:ascii="Times New Roman" w:hAnsi="Times New Roman"/>
          <w:sz w:val="20"/>
        </w:rPr>
        <w:t xml:space="preserve"> </w:t>
      </w:r>
      <w:r>
        <w:rPr>
          <w:rFonts w:ascii="Times New Roman;serif" w:hAnsi="Times New Roman;serif"/>
          <w:b w:val="false"/>
          <w:sz w:val="20"/>
        </w:rPr>
        <w:t>thousand and $0</w:t>
      </w:r>
      <w:r>
        <w:rPr>
          <w:rFonts w:ascii="Times New Roman" w:hAnsi="Times New Roman"/>
          <w:sz w:val="20"/>
        </w:rPr>
        <w:t xml:space="preserve"> </w:t>
      </w:r>
      <w:r>
        <w:rPr>
          <w:rFonts w:ascii="Times New Roman;serif" w:hAnsi="Times New Roman;serif"/>
          <w:b w:val="false"/>
          <w:sz w:val="20"/>
        </w:rPr>
        <w:t>for the three months ended April 1, 2023 and April 2, 2022, respectively. There were no</w:t>
      </w:r>
      <w:r>
        <w:rPr>
          <w:rFonts w:ascii="Times New Roman" w:hAnsi="Times New Roman"/>
          <w:sz w:val="20"/>
        </w:rPr>
        <w:t xml:space="preserve"> </w:t>
      </w:r>
      <w:r>
        <w:rPr>
          <w:rFonts w:ascii="Times New Roman;serif" w:hAnsi="Times New Roman;serif"/>
          <w:b w:val="false"/>
          <w:sz w:val="20"/>
        </w:rPr>
        <w:t>impairment expenses for both the three months ended April 1, 2023 and April 2, 2022,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Contract Fulfillment Costs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April 1, 2023, the Company recognized deferred costs incurred to fulfill a contract with a customer, net of accumulated amortization, of $743</w:t>
      </w:r>
      <w:r>
        <w:rPr>
          <w:rFonts w:ascii="Times New Roman" w:hAnsi="Times New Roman"/>
          <w:sz w:val="20"/>
        </w:rPr>
        <w:t xml:space="preserve"> </w:t>
      </w:r>
      <w:r>
        <w:rPr>
          <w:rFonts w:ascii="Times New Roman;serif" w:hAnsi="Times New Roman;serif"/>
          <w:b w:val="false"/>
          <w:sz w:val="20"/>
        </w:rPr>
        <w:t>thousand, and included these amounts in Prepaid expenses and other current assets and Other long-term assets in the Company’s condensed consolidated balance sheets. Amortization expense was $21</w:t>
      </w:r>
      <w:r>
        <w:rPr>
          <w:rFonts w:ascii="Times New Roman" w:hAnsi="Times New Roman"/>
          <w:sz w:val="20"/>
        </w:rPr>
        <w:t xml:space="preserve"> </w:t>
      </w:r>
      <w:r>
        <w:rPr>
          <w:rFonts w:ascii="Times New Roman;serif" w:hAnsi="Times New Roman;serif"/>
          <w:b w:val="false"/>
          <w:sz w:val="20"/>
        </w:rPr>
        <w:t>thousand and $0</w:t>
      </w:r>
      <w:r>
        <w:rPr>
          <w:rFonts w:ascii="Times New Roman" w:hAnsi="Times New Roman"/>
          <w:sz w:val="20"/>
        </w:rPr>
        <w:t xml:space="preserve"> </w:t>
      </w:r>
      <w:r>
        <w:rPr>
          <w:rFonts w:ascii="Times New Roman;serif" w:hAnsi="Times New Roman;serif"/>
          <w:b w:val="false"/>
          <w:sz w:val="20"/>
        </w:rPr>
        <w:t>for the three months ended April 1, 2023 and April 2, 2022, respectively. There were no</w:t>
      </w:r>
      <w:r>
        <w:rPr>
          <w:rFonts w:ascii="Times New Roman" w:hAnsi="Times New Roman"/>
          <w:sz w:val="20"/>
        </w:rPr>
        <w:t xml:space="preserve"> </w:t>
      </w:r>
      <w:r>
        <w:rPr>
          <w:rFonts w:ascii="Times New Roman;serif" w:hAnsi="Times New Roman;serif"/>
          <w:b w:val="false"/>
          <w:sz w:val="20"/>
        </w:rPr>
        <w:t>impairment expenses for both the three months ended April 1, 2023 and April 2, 2022,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determine if an arrangement is a lease at inception. Operating leases are included in Operating lease right-of-use (“ROU”) assets, net and Operating lease liabilities in our condensed consolidated balance sheets. As of April 1, 2023 and December 31, 2022, the Company was not a party to finance lease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available practical expedient, we account for the lease and non-lease components as a single lease component.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Concentration of Credit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120" w:after="0"/>
        <w:jc w:val="left"/>
        <w:rPr>
          <w:rFonts w:ascii="Times New Roman" w:hAnsi="Times New Roman"/>
          <w:sz w:val="20"/>
        </w:rPr>
      </w:pPr>
      <w:r>
        <w:rPr>
          <w:rFonts w:ascii="Times New Roman;serif" w:hAnsi="Times New Roman;serif"/>
          <w:b w:val="false"/>
          <w:sz w:val="20"/>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April 1, 2023</w:t>
      </w:r>
      <w:r>
        <w:rPr>
          <w:rFonts w:ascii="Times New Roman" w:hAnsi="Times New Roman"/>
          <w:sz w:val="20"/>
        </w:rPr>
        <w:t xml:space="preserve"> </w:t>
      </w:r>
      <w:r>
        <w:rPr>
          <w:rFonts w:ascii="Times New Roman;serif" w:hAnsi="Times New Roman;serif"/>
          <w:b w:val="false"/>
          <w:sz w:val="20"/>
        </w:rPr>
        <w:t>one</w:t>
      </w:r>
      <w:r>
        <w:rPr>
          <w:rFonts w:ascii="Times New Roman" w:hAnsi="Times New Roman"/>
          <w:sz w:val="20"/>
        </w:rPr>
        <w:t xml:space="preserve"> </w:t>
      </w:r>
      <w:r>
        <w:rPr>
          <w:rFonts w:ascii="Times New Roman;serif" w:hAnsi="Times New Roman;serif"/>
          <w:b w:val="false"/>
          <w:sz w:val="20"/>
        </w:rPr>
        <w:t>customer, Topcon, accounted for more than 10% of total revenues, representing 32%. For the three months ended April 2, 2022, one</w:t>
      </w:r>
      <w:r>
        <w:rPr>
          <w:rFonts w:ascii="Times New Roman" w:hAnsi="Times New Roman"/>
          <w:sz w:val="20"/>
        </w:rPr>
        <w:t xml:space="preserve"> </w:t>
      </w:r>
      <w:r>
        <w:rPr>
          <w:rFonts w:ascii="Times New Roman;serif" w:hAnsi="Times New Roman;serif"/>
          <w:b w:val="false"/>
          <w:sz w:val="20"/>
        </w:rPr>
        <w:t>customer, Topcon, accounted for more than 10% of total revenues, representing 30%. As of April 1, 2023, one</w:t>
      </w:r>
      <w:r>
        <w:rPr>
          <w:rFonts w:ascii="Times New Roman" w:hAnsi="Times New Roman"/>
          <w:sz w:val="20"/>
        </w:rPr>
        <w:t xml:space="preserve"> </w:t>
      </w:r>
      <w:r>
        <w:rPr>
          <w:rFonts w:ascii="Times New Roman;serif" w:hAnsi="Times New Roman;serif"/>
          <w:b w:val="false"/>
          <w:sz w:val="20"/>
        </w:rPr>
        <w:t>customer, Topcon, accounted for over 10% of our accounts receivable, representing 35%. As of December 31, 2022, one</w:t>
      </w:r>
      <w:r>
        <w:rPr>
          <w:rFonts w:ascii="Times New Roman" w:hAnsi="Times New Roman"/>
          <w:sz w:val="20"/>
        </w:rPr>
        <w:t xml:space="preserve"> </w:t>
      </w:r>
      <w:r>
        <w:rPr>
          <w:rFonts w:ascii="Times New Roman;serif" w:hAnsi="Times New Roman;serif"/>
          <w:b w:val="false"/>
          <w:sz w:val="20"/>
        </w:rPr>
        <w:t>customer, Topcon, accounted for more than 10% of our accounts receivable, representing 37%.</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Taxes Collected from Customers and Remitted to Governmental Authorities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Taxes collected from customers and remitted to governmental authorities are recognized on a net basis in the accompanying condensed consolidated statements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Shipping and Handling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shipping and handling costs billed to customers are included in revenues and the associated expense is recorded in cost of revenues for all periods presented.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Deferred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reconciliation of the changes in the Company’s deferred revenue balance for the three months ended April 1, 2023 and April 2, 2022 is as follows:</w:t>
      </w:r>
    </w:p>
    <w:p>
      <w:pPr>
        <w:pStyle w:val="TextBody"/>
        <w:bidi w:val="0"/>
        <w:spacing w:before="0" w:after="0"/>
        <w:jc w:val="left"/>
        <w:rPr/>
      </w:pPr>
      <w:r>
        <w:rPr/>
        <w:t> </w:t>
      </w:r>
    </w:p>
    <w:tbl>
      <w:tblPr>
        <w:tblW w:w="6145" w:type="dxa"/>
        <w:jc w:val="left"/>
        <w:tblInd w:w="0" w:type="dxa"/>
        <w:tblLayout w:type="fixed"/>
        <w:tblCellMar>
          <w:top w:w="28" w:type="dxa"/>
          <w:left w:w="28" w:type="dxa"/>
          <w:bottom w:w="28" w:type="dxa"/>
          <w:right w:w="28" w:type="dxa"/>
        </w:tblCellMar>
      </w:tblPr>
      <w:tblGrid>
        <w:gridCol w:w="3346"/>
        <w:gridCol w:w="146"/>
        <w:gridCol w:w="253"/>
        <w:gridCol w:w="812"/>
        <w:gridCol w:w="166"/>
        <w:gridCol w:w="146"/>
        <w:gridCol w:w="253"/>
        <w:gridCol w:w="812"/>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13,285</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to deferral</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14,887</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portion of deferred revenue</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three months ended April 1, 2023 and April 2, 2022, approximately $0.5</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were recognized pertaining to amounts deferred as of December 31, 2022 and January 1, 2022, respectively. As of April 1, 2023, approximately $10.8</w:t>
      </w:r>
      <w:r>
        <w:rPr>
          <w:rFonts w:ascii="Times New Roman" w:hAnsi="Times New Roman"/>
          <w:sz w:val="20"/>
        </w:rPr>
        <w:t xml:space="preserve"> </w:t>
      </w:r>
      <w:r>
        <w:rPr>
          <w:rFonts w:ascii="Times New Roman;serif" w:hAnsi="Times New Roman;serif"/>
          <w:b w:val="false"/>
          <w:sz w:val="20"/>
        </w:rPr>
        <w:t>million of the non-current portion of deferred revenue and $1.5</w:t>
      </w:r>
      <w:r>
        <w:rPr>
          <w:rFonts w:ascii="Times New Roman" w:hAnsi="Times New Roman"/>
          <w:sz w:val="20"/>
        </w:rPr>
        <w:t xml:space="preserve"> </w:t>
      </w:r>
      <w:r>
        <w:rPr>
          <w:rFonts w:ascii="Times New Roman;serif" w:hAnsi="Times New Roman;serif"/>
          <w:b w:val="false"/>
          <w:sz w:val="20"/>
        </w:rPr>
        <w:t>million of the current portion of deferred revenue pertain to exclusivity distribution rights deferred revenue.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Warranty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currently provides a two-year</w:t>
      </w:r>
      <w:r>
        <w:rPr>
          <w:rFonts w:ascii="Times New Roman" w:hAnsi="Times New Roman"/>
          <w:sz w:val="20"/>
        </w:rPr>
        <w:t xml:space="preserve"> </w:t>
      </w:r>
      <w:r>
        <w:rPr>
          <w:rFonts w:ascii="Times New Roman;serif" w:hAnsi="Times New Roman;serif"/>
          <w:b w:val="false"/>
          <w:sz w:val="20"/>
        </w:rPr>
        <w:t>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reconciliation of the changes in the Company’s warranty liability for the three months ended April 1, 2023 and April 2, 2022 is as follows:</w:t>
      </w:r>
    </w:p>
    <w:p>
      <w:pPr>
        <w:pStyle w:val="TextBody"/>
        <w:bidi w:val="0"/>
        <w:spacing w:before="0" w:after="0"/>
        <w:jc w:val="left"/>
        <w:rPr/>
      </w:pPr>
      <w:r>
        <w:rPr/>
        <w:t> </w:t>
      </w:r>
    </w:p>
    <w:tbl>
      <w:tblPr>
        <w:tblW w:w="5970" w:type="dxa"/>
        <w:jc w:val="left"/>
        <w:tblInd w:w="0" w:type="dxa"/>
        <w:tblLayout w:type="fixed"/>
        <w:tblCellMar>
          <w:top w:w="28" w:type="dxa"/>
          <w:left w:w="28" w:type="dxa"/>
          <w:bottom w:w="28" w:type="dxa"/>
          <w:right w:w="28" w:type="dxa"/>
        </w:tblCellMar>
      </w:tblPr>
      <w:tblGrid>
        <w:gridCol w:w="3166"/>
        <w:gridCol w:w="146"/>
        <w:gridCol w:w="355"/>
        <w:gridCol w:w="710"/>
        <w:gridCol w:w="169"/>
        <w:gridCol w:w="148"/>
        <w:gridCol w:w="355"/>
        <w:gridCol w:w="710"/>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Accruals for product warranties</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warranty claims</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 to pre-existing warranties</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Implementation Costs Incurred in a Cloud Computing Service Arrangement</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currently implementing a new enterprise resource planning (“ERP”) system. The new ERP system operates in a cloud-based environment. The Company concluded that this cloud computing arrangement does not include a license, and therefore, will account for this arrangement as one that is a service contract. As of April 1, 2023, the Company capitalized $1.0</w:t>
      </w:r>
      <w:r>
        <w:rPr>
          <w:rFonts w:ascii="Times New Roman" w:hAnsi="Times New Roman"/>
          <w:sz w:val="20"/>
        </w:rPr>
        <w:t xml:space="preserve"> </w:t>
      </w:r>
      <w:r>
        <w:rPr>
          <w:rFonts w:ascii="Times New Roman;serif" w:hAnsi="Times New Roman;serif"/>
          <w:b w:val="false"/>
          <w:sz w:val="20"/>
        </w:rPr>
        <w:t>million in implementation costs, included in Prepaid expenses and other current assets and Other long-term assets in the Company’s condensed consolidated balance sheets. The Company will amortize the capitalized implementation costs over five years</w:t>
      </w:r>
      <w:r>
        <w:rPr>
          <w:rFonts w:ascii="Times New Roman" w:hAnsi="Times New Roman"/>
          <w:sz w:val="20"/>
        </w:rPr>
        <w:t xml:space="preserve"> </w:t>
      </w:r>
      <w:r>
        <w:rPr>
          <w:rFonts w:ascii="Times New Roman;serif" w:hAnsi="Times New Roman;serif"/>
          <w:b w:val="false"/>
          <w:sz w:val="20"/>
        </w:rPr>
        <w:t>on a straight-line basis once the ERP system is ready for use. There were no</w:t>
      </w:r>
      <w:r>
        <w:rPr>
          <w:rFonts w:ascii="Times New Roman" w:hAnsi="Times New Roman"/>
          <w:sz w:val="20"/>
        </w:rPr>
        <w:t xml:space="preserve"> </w:t>
      </w:r>
      <w:r>
        <w:rPr>
          <w:rFonts w:ascii="Times New Roman;serif" w:hAnsi="Times New Roman;serif"/>
          <w:b w:val="false"/>
          <w:sz w:val="20"/>
        </w:rPr>
        <w:t>amortization expenses for both the three months ended April 1, 2023 and April 2,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Reclassifications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Recently Adopted Accounting Standards</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2016, the Financial Accounting Standards Board (“FASB”) issued Accounting Standards Update (“ASU”) No. 2016-13 “Measurement of Credit Losses on Financial Instruments,” which amended the current approach to estimate credit losses on certain financial assets, including trade and other receivables, available-for-sale securities, and other financial instruments. Generally, this amendment requires entities to establish a valuation allowance for the expected lifetime losses of these certain financial assets. In November 2019, the FASB issued ASU No. 2019-10, “Financial Instruments - Credit Losses (Topic 326), Derivatives and Hedging (Topic 815), and Leases (Topic 842),” which amended the effective date for certain qualified entities to fiscal years beginning after December 15, 2022. On January 1, 2023, the Company adopted ASU No. 2016-13, using the modified retrospective approach by applying a cumulative effect adjustment of $0.2</w:t>
      </w:r>
      <w:r>
        <w:rPr>
          <w:rFonts w:ascii="Times New Roman" w:hAnsi="Times New Roman"/>
          <w:sz w:val="20"/>
        </w:rPr>
        <w:t xml:space="preserve"> </w:t>
      </w:r>
      <w:r>
        <w:rPr>
          <w:rFonts w:ascii="Times New Roman;serif" w:hAnsi="Times New Roman;serif"/>
          <w:b w:val="false"/>
          <w:sz w:val="20"/>
        </w:rPr>
        <w:t>million to the opening balance of accumulated deficit.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3. Accounts Receivable and Allowance for Credit Losses</w:t>
        <w:br/>
        <w:br/>
      </w:r>
      <w:r>
        <w:rPr>
          <w:rFonts w:ascii="Times New Roman;serif" w:hAnsi="Times New Roman;serif"/>
          <w:b w:val="false"/>
          <w:i/>
          <w:sz w:val="20"/>
        </w:rPr>
        <w:t>Trade Receivables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allowance for credit losses represents an estimate of the lifetime expected credit losses inherent in trade receivables as of the balance sheet date. We assess the adequacy of the allowance for credit losses on a quarterly basis based on historical information and current economic conditions and forecasts. Subsequent changes in the allowance for credit losses are recorded in current earnings and reversal of previous losses are permitted under the current guidance.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activity in the allowance for credit losses for accounts receivable by pool type for three months ended April 1, 2023 (in thousands):</w:t>
      </w:r>
    </w:p>
    <w:p>
      <w:pPr>
        <w:pStyle w:val="TextBody"/>
        <w:bidi w:val="0"/>
        <w:spacing w:before="120" w:after="0"/>
        <w:jc w:val="left"/>
        <w:rPr/>
      </w:pPr>
      <w:r>
        <w:rPr/>
        <w:t> </w:t>
      </w:r>
    </w:p>
    <w:tbl>
      <w:tblPr>
        <w:tblW w:w="6536" w:type="dxa"/>
        <w:jc w:val="left"/>
        <w:tblInd w:w="0" w:type="dxa"/>
        <w:tblLayout w:type="fixed"/>
        <w:tblCellMar>
          <w:top w:w="28" w:type="dxa"/>
          <w:left w:w="28" w:type="dxa"/>
          <w:bottom w:w="28" w:type="dxa"/>
          <w:right w:w="28" w:type="dxa"/>
        </w:tblCellMar>
      </w:tblPr>
      <w:tblGrid>
        <w:gridCol w:w="3031"/>
        <w:gridCol w:w="146"/>
        <w:gridCol w:w="233"/>
        <w:gridCol w:w="533"/>
        <w:gridCol w:w="166"/>
        <w:gridCol w:w="146"/>
        <w:gridCol w:w="325"/>
        <w:gridCol w:w="741"/>
        <w:gridCol w:w="166"/>
        <w:gridCol w:w="146"/>
        <w:gridCol w:w="211"/>
        <w:gridCol w:w="481"/>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Domestic</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International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adoption of ASU 2016-13</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4. Related Party - Topcon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Topcon holds a 10.1% voting interest in the Company, which qualifies it to be a principal owner considered a related party, even though it currently does not have significant influence over the Company’s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Topcon resells certain of our products as our exclusive distributor in certain international regions. At the same time, the Company also purchases certain raw materials from Topcon. During the three months ended April 1, 2023, the Company’s revenues related to Topcon amounted to approximately $4.3</w:t>
      </w:r>
      <w:r>
        <w:rPr>
          <w:rFonts w:ascii="Times New Roman" w:hAnsi="Times New Roman"/>
          <w:sz w:val="20"/>
        </w:rPr>
        <w:t xml:space="preserve"> </w:t>
      </w:r>
      <w:r>
        <w:rPr>
          <w:rFonts w:ascii="Times New Roman;serif" w:hAnsi="Times New Roman;serif"/>
          <w:b w:val="false"/>
          <w:sz w:val="20"/>
        </w:rPr>
        <w:t>million, including $0.4</w:t>
      </w:r>
      <w:r>
        <w:rPr>
          <w:rFonts w:ascii="Times New Roman" w:hAnsi="Times New Roman"/>
          <w:sz w:val="20"/>
        </w:rPr>
        <w:t xml:space="preserve"> </w:t>
      </w:r>
      <w:r>
        <w:rPr>
          <w:rFonts w:ascii="Times New Roman;serif" w:hAnsi="Times New Roman;serif"/>
          <w:b w:val="false"/>
          <w:sz w:val="20"/>
        </w:rPr>
        <w:t>million recognized exclusive distribution rights revenue. During the three months ended April 2, 2022, the Company’s revenues related to Topcon amounted to approximately $4.0</w:t>
      </w:r>
      <w:r>
        <w:rPr>
          <w:rFonts w:ascii="Times New Roman" w:hAnsi="Times New Roman"/>
          <w:sz w:val="20"/>
        </w:rPr>
        <w:t xml:space="preserve"> </w:t>
      </w:r>
      <w:r>
        <w:rPr>
          <w:rFonts w:ascii="Times New Roman;serif" w:hAnsi="Times New Roman;serif"/>
          <w:b w:val="false"/>
          <w:sz w:val="20"/>
        </w:rPr>
        <w:t>million, including $0.3</w:t>
      </w:r>
      <w:r>
        <w:rPr>
          <w:rFonts w:ascii="Times New Roman" w:hAnsi="Times New Roman"/>
          <w:sz w:val="20"/>
        </w:rPr>
        <w:t xml:space="preserve"> </w:t>
      </w:r>
      <w:r>
        <w:rPr>
          <w:rFonts w:ascii="Times New Roman;serif" w:hAnsi="Times New Roman;serif"/>
          <w:b w:val="false"/>
          <w:sz w:val="20"/>
        </w:rPr>
        <w:t>million recognized exclusive distribution rights revenue. The Company’s purchases from Topcon during the three months ended April 1, 2023</w:t>
      </w:r>
      <w:r>
        <w:rPr>
          <w:rFonts w:ascii="Times New Roman" w:hAnsi="Times New Roman"/>
          <w:sz w:val="20"/>
        </w:rPr>
        <w:t xml:space="preserve"> </w:t>
      </w:r>
      <w:r>
        <w:rPr>
          <w:rFonts w:ascii="Times New Roman;serif" w:hAnsi="Times New Roman;serif"/>
          <w:b w:val="false"/>
          <w:sz w:val="20"/>
        </w:rPr>
        <w:t>amounted to approximately $0.1</w:t>
      </w:r>
      <w:r>
        <w:rPr>
          <w:rFonts w:ascii="Times New Roman" w:hAnsi="Times New Roman"/>
          <w:sz w:val="20"/>
        </w:rPr>
        <w:t xml:space="preserve"> </w:t>
      </w:r>
      <w:r>
        <w:rPr>
          <w:rFonts w:ascii="Times New Roman;serif" w:hAnsi="Times New Roman;serif"/>
          <w:b w:val="false"/>
          <w:sz w:val="20"/>
        </w:rPr>
        <w:t>million. As of April 1, 2023, the amounts receivable from and payable to Topcon were $3.8</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As of December 31, 2022, the amounts receivable from and payable to Topcon were $3.5</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120" w:after="0"/>
        <w:jc w:val="left"/>
        <w:rPr>
          <w:rFonts w:ascii="Times New Roman;serif" w:hAnsi="Times New Roman;serif"/>
          <w:b/>
          <w:sz w:val="20"/>
        </w:rPr>
      </w:pPr>
      <w:r>
        <w:rPr>
          <w:rFonts w:ascii="Times New Roman;serif" w:hAnsi="Times New Roman;serif"/>
          <w:b/>
          <w:sz w:val="20"/>
        </w:rPr>
        <w:t>5. Inventories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components of the Company’s inventories as of April 1, 2023 and December 31, 2022 are as follows:</w:t>
      </w:r>
    </w:p>
    <w:p>
      <w:pPr>
        <w:pStyle w:val="TextBody"/>
        <w:bidi w:val="0"/>
        <w:spacing w:before="0" w:after="0"/>
        <w:jc w:val="left"/>
        <w:rPr/>
      </w:pPr>
      <w:r>
        <w:rPr/>
        <w:t> </w:t>
      </w:r>
    </w:p>
    <w:tbl>
      <w:tblPr>
        <w:tblW w:w="4710" w:type="dxa"/>
        <w:jc w:val="left"/>
        <w:tblInd w:w="0" w:type="dxa"/>
        <w:tblLayout w:type="fixed"/>
        <w:tblCellMar>
          <w:top w:w="28" w:type="dxa"/>
          <w:left w:w="28" w:type="dxa"/>
          <w:bottom w:w="28" w:type="dxa"/>
          <w:right w:w="28" w:type="dxa"/>
        </w:tblCellMar>
      </w:tblPr>
      <w:tblGrid>
        <w:gridCol w:w="1516"/>
        <w:gridCol w:w="146"/>
        <w:gridCol w:w="253"/>
        <w:gridCol w:w="812"/>
        <w:gridCol w:w="146"/>
        <w:gridCol w:w="146"/>
        <w:gridCol w:w="357"/>
        <w:gridCol w:w="114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5,820</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6. Goodwill and Intangible Assets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Goodwill</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value of goodwill was $1.0</w:t>
      </w:r>
      <w:r>
        <w:rPr>
          <w:rFonts w:ascii="Times New Roman" w:hAnsi="Times New Roman"/>
          <w:sz w:val="20"/>
        </w:rPr>
        <w:t xml:space="preserve"> </w:t>
      </w:r>
      <w:r>
        <w:rPr>
          <w:rFonts w:ascii="Times New Roman;serif" w:hAnsi="Times New Roman;serif"/>
          <w:b w:val="false"/>
          <w:sz w:val="20"/>
        </w:rPr>
        <w:t>million as of both April 1, 2023 and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2022 and determined that its goodwill was not impaired.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April 1, 2023, the Company had not identified any factors that indicated there was an impairment of its goodwill and determined that no</w:t>
      </w:r>
      <w:r>
        <w:rPr>
          <w:rFonts w:ascii="Times New Roman" w:hAnsi="Times New Roman"/>
          <w:sz w:val="20"/>
        </w:rPr>
        <w:t xml:space="preserve"> </w:t>
      </w:r>
      <w:r>
        <w:rPr>
          <w:rFonts w:ascii="Times New Roman;serif" w:hAnsi="Times New Roman;serif"/>
          <w:b w:val="false"/>
          <w:sz w:val="20"/>
        </w:rPr>
        <w:t>additional impairment analysis was then required.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Intangible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components of gross and net of intangible assets carrying amounts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85"/>
        <w:gridCol w:w="146"/>
        <w:gridCol w:w="211"/>
        <w:gridCol w:w="571"/>
        <w:gridCol w:w="146"/>
        <w:gridCol w:w="146"/>
        <w:gridCol w:w="291"/>
        <w:gridCol w:w="790"/>
        <w:gridCol w:w="146"/>
        <w:gridCol w:w="146"/>
        <w:gridCol w:w="211"/>
        <w:gridCol w:w="571"/>
        <w:gridCol w:w="146"/>
        <w:gridCol w:w="146"/>
        <w:gridCol w:w="1286"/>
        <w:gridCol w:w="146"/>
        <w:gridCol w:w="211"/>
        <w:gridCol w:w="571"/>
        <w:gridCol w:w="146"/>
        <w:gridCol w:w="146"/>
        <w:gridCol w:w="291"/>
        <w:gridCol w:w="790"/>
        <w:gridCol w:w="146"/>
        <w:gridCol w:w="146"/>
        <w:gridCol w:w="211"/>
        <w:gridCol w:w="571"/>
        <w:gridCol w:w="192"/>
      </w:tblGrid>
      <w:tr>
        <w:trPr/>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br/>
              <w:t>Amortization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4.00</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92"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5.86</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1,628</w:t>
            </w:r>
          </w:p>
        </w:tc>
        <w:tc>
          <w:tcPr>
            <w:tcW w:w="192"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6.92</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92"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None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three months ended April 1, 2023 and April 2, 2022, amortization expense totaled $83</w:t>
      </w:r>
      <w:r>
        <w:rPr>
          <w:rFonts w:ascii="Times New Roman" w:hAnsi="Times New Roman"/>
          <w:sz w:val="20"/>
        </w:rPr>
        <w:t xml:space="preserve"> </w:t>
      </w:r>
      <w:r>
        <w:rPr>
          <w:rFonts w:ascii="Times New Roman;serif" w:hAnsi="Times New Roman;serif"/>
          <w:b w:val="false"/>
          <w:sz w:val="20"/>
        </w:rPr>
        <w:t>thousand and $48</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w:t>
      </w:r>
    </w:p>
    <w:p>
      <w:pPr>
        <w:pStyle w:val="TextBody"/>
        <w:bidi w:val="0"/>
        <w:spacing w:before="0" w:after="0"/>
        <w:jc w:val="left"/>
        <w:rPr/>
      </w:pPr>
      <w:r>
        <w:rPr/>
        <w:t> </w:t>
      </w:r>
    </w:p>
    <w:tbl>
      <w:tblPr>
        <w:tblW w:w="4170" w:type="dxa"/>
        <w:jc w:val="left"/>
        <w:tblInd w:w="0" w:type="dxa"/>
        <w:tblLayout w:type="fixed"/>
        <w:tblCellMar>
          <w:top w:w="28" w:type="dxa"/>
          <w:left w:w="28" w:type="dxa"/>
          <w:bottom w:w="28" w:type="dxa"/>
          <w:right w:w="28" w:type="dxa"/>
        </w:tblCellMar>
      </w:tblPr>
      <w:tblGrid>
        <w:gridCol w:w="2851"/>
        <w:gridCol w:w="146"/>
        <w:gridCol w:w="211"/>
        <w:gridCol w:w="571"/>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Year:</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 (nine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7.</w:t>
      </w:r>
      <w:r>
        <w:rPr>
          <w:rFonts w:ascii="Times New Roman" w:hAnsi="Times New Roman"/>
          <w:sz w:val="20"/>
        </w:rPr>
        <w:t xml:space="preserve"> </w:t>
      </w:r>
      <w:r>
        <w:rPr>
          <w:rFonts w:ascii="Times New Roman;serif" w:hAnsi="Times New Roman;serif"/>
          <w:b/>
          <w:sz w:val="20"/>
        </w:rPr>
        <w:t>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Quoted prices (unadjusted) in active markets that are accessible at the measurement date for assets or liabilities.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amounts of the Company’s financial assets and liabilities, including cash and cash equivalents, accounts receivable, accounts payable, and accrued expenses as of April 1, 2023 and December 31, 2022, approximate fair value because of the short maturity of these instruments.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April 1, 2023 and December 31, 2022, financial assets measured and recognized at fair value on a recurring basis and classified under the appropriate level of the fair value hierarchy as described above were as follows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73"/>
        <w:gridCol w:w="146"/>
        <w:gridCol w:w="211"/>
        <w:gridCol w:w="571"/>
        <w:gridCol w:w="146"/>
        <w:gridCol w:w="146"/>
        <w:gridCol w:w="238"/>
        <w:gridCol w:w="389"/>
        <w:gridCol w:w="146"/>
        <w:gridCol w:w="146"/>
        <w:gridCol w:w="238"/>
        <w:gridCol w:w="389"/>
        <w:gridCol w:w="146"/>
        <w:gridCol w:w="146"/>
        <w:gridCol w:w="211"/>
        <w:gridCol w:w="571"/>
        <w:gridCol w:w="146"/>
        <w:gridCol w:w="146"/>
        <w:gridCol w:w="211"/>
        <w:gridCol w:w="676"/>
        <w:gridCol w:w="146"/>
        <w:gridCol w:w="146"/>
        <w:gridCol w:w="238"/>
        <w:gridCol w:w="389"/>
        <w:gridCol w:w="146"/>
        <w:gridCol w:w="146"/>
        <w:gridCol w:w="238"/>
        <w:gridCol w:w="389"/>
        <w:gridCol w:w="146"/>
        <w:gridCol w:w="146"/>
        <w:gridCol w:w="211"/>
        <w:gridCol w:w="676"/>
        <w:gridCol w:w="396"/>
      </w:tblGrid>
      <w:tr>
        <w:trPr/>
        <w:tc>
          <w:tcPr>
            <w:tcW w:w="1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0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0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17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Level 1 financial assets are money market funds whose fair values are based on quoted market prices. The Company does not have any Level 2 and Level 3 financial assets or liabilities.</w:t>
      </w:r>
    </w:p>
    <w:p>
      <w:pPr>
        <w:pStyle w:val="TextBody"/>
        <w:bidi w:val="0"/>
        <w:spacing w:before="120" w:after="0"/>
        <w:jc w:val="left"/>
        <w:rPr>
          <w:rFonts w:ascii="Times New Roman;serif" w:hAnsi="Times New Roman;serif"/>
          <w:b/>
          <w:sz w:val="20"/>
        </w:rPr>
      </w:pPr>
      <w:r>
        <w:rPr>
          <w:rFonts w:ascii="Times New Roman;serif" w:hAnsi="Times New Roman;serif"/>
          <w:b/>
          <w:sz w:val="20"/>
        </w:rPr>
        <w:t>8. Leases and Commitments and Contingencies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Operating Leases</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operating leases consist of facility and office equipment leases. Operating lease expense was $0.3</w:t>
      </w:r>
      <w:r>
        <w:rPr>
          <w:rFonts w:ascii="Times New Roman" w:hAnsi="Times New Roman"/>
          <w:sz w:val="20"/>
        </w:rPr>
        <w:t xml:space="preserve"> </w:t>
      </w:r>
      <w:r>
        <w:rPr>
          <w:rFonts w:ascii="Times New Roman;serif" w:hAnsi="Times New Roman;serif"/>
          <w:b w:val="false"/>
          <w:sz w:val="20"/>
        </w:rPr>
        <w:t>million for both the three months ended April 1, 2023 and April 2, 2022. The weighted average discount rate used in calculating the present value of lease payments was 4.9%. As of April 1, 2023, the weighted average remaining lease term for our operating leases was 1.5</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represents maturities of operating lease liabilities as of April 1, 2023</w:t>
      </w:r>
      <w:r>
        <w:rPr>
          <w:rFonts w:ascii="Times New Roman" w:hAnsi="Times New Roman"/>
          <w:sz w:val="20"/>
        </w:rPr>
        <w:t xml:space="preserve"> </w:t>
      </w:r>
      <w:r>
        <w:rPr>
          <w:rFonts w:ascii="Times New Roman;serif" w:hAnsi="Times New Roman;serif"/>
          <w:b w:val="false"/>
          <w:sz w:val="20"/>
        </w:rPr>
        <w:t>(in thousands):</w:t>
      </w:r>
    </w:p>
    <w:p>
      <w:pPr>
        <w:pStyle w:val="TextBody"/>
        <w:bidi w:val="0"/>
        <w:spacing w:before="0" w:after="0"/>
        <w:jc w:val="left"/>
        <w:rPr/>
      </w:pPr>
      <w:r>
        <w:rPr/>
        <w:t> </w:t>
      </w:r>
    </w:p>
    <w:tbl>
      <w:tblPr>
        <w:tblW w:w="4468" w:type="dxa"/>
        <w:jc w:val="left"/>
        <w:tblInd w:w="0" w:type="dxa"/>
        <w:tblLayout w:type="fixed"/>
        <w:tblCellMar>
          <w:top w:w="28" w:type="dxa"/>
          <w:left w:w="28" w:type="dxa"/>
          <w:bottom w:w="28" w:type="dxa"/>
          <w:right w:w="28" w:type="dxa"/>
        </w:tblCellMar>
      </w:tblPr>
      <w:tblGrid>
        <w:gridCol w:w="2851"/>
        <w:gridCol w:w="146"/>
        <w:gridCol w:w="338"/>
        <w:gridCol w:w="922"/>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Fiscal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w:t>
              <w:br/>
              <w:t>Lease Payments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 (nine months)</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Purchase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Our purchase commitments consist primarily of non-cancellable purchase commitments with vendors to manufacture certain components and ophthalmic instrumentation. As of April 1, 2023, our future minimum payments through fiscal year 2024 for our purchase commitments were approximately $18.5</w:t>
      </w:r>
      <w:r>
        <w:rPr>
          <w:rFonts w:ascii="Times New Roman" w:hAnsi="Times New Roman"/>
          <w:sz w:val="20"/>
        </w:rPr>
        <w:t xml:space="preserve"> </w:t>
      </w:r>
      <w:r>
        <w:rPr>
          <w:rFonts w:ascii="Times New Roman;serif" w:hAnsi="Times New Roman;serif"/>
          <w:b w:val="false"/>
          <w:sz w:val="20"/>
        </w:rPr>
        <w:t>million, with $16.8</w:t>
      </w:r>
      <w:r>
        <w:rPr>
          <w:rFonts w:ascii="Times New Roman" w:hAnsi="Times New Roman"/>
          <w:sz w:val="20"/>
        </w:rPr>
        <w:t xml:space="preserve"> </w:t>
      </w:r>
      <w:r>
        <w:rPr>
          <w:rFonts w:ascii="Times New Roman;serif" w:hAnsi="Times New Roman;serif"/>
          <w:b w:val="false"/>
          <w:sz w:val="20"/>
        </w:rPr>
        <w:t>million committed for the next 12 months.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Indemnities</w:t>
      </w:r>
    </w:p>
    <w:p>
      <w:pPr>
        <w:pStyle w:val="TextBody"/>
        <w:bidi w:val="0"/>
        <w:spacing w:before="120" w:after="0"/>
        <w:jc w:val="left"/>
        <w:rPr>
          <w:rFonts w:ascii="Times New Roman" w:hAnsi="Times New Roman"/>
          <w:sz w:val="20"/>
        </w:rPr>
      </w:pPr>
      <w:r>
        <w:rPr>
          <w:rFonts w:ascii="Times New Roman;serif" w:hAnsi="Times New Roman;serif"/>
          <w:b w:val="false"/>
          <w:sz w:val="20"/>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9.</w:t>
      </w:r>
      <w:r>
        <w:rPr>
          <w:rFonts w:ascii="Times New Roman" w:hAnsi="Times New Roman"/>
          <w:sz w:val="20"/>
        </w:rPr>
        <w:t xml:space="preserve"> </w:t>
      </w:r>
      <w:r>
        <w:rPr>
          <w:rFonts w:ascii="Times New Roman;serif" w:hAnsi="Times New Roman;serif"/>
          <w:b/>
          <w:sz w:val="20"/>
        </w:rPr>
        <w:t>Stockholders’ Equity and Stock-Based Compensation</w:t>
      </w:r>
    </w:p>
    <w:p>
      <w:pPr>
        <w:pStyle w:val="TextBody"/>
        <w:bidi w:val="0"/>
        <w:spacing w:before="120" w:after="0"/>
        <w:jc w:val="left"/>
        <w:rPr>
          <w:rFonts w:ascii="Times New Roman;serif" w:hAnsi="Times New Roman;serif"/>
          <w:b/>
          <w:sz w:val="20"/>
        </w:rPr>
      </w:pPr>
      <w:r>
        <w:rPr>
          <w:rFonts w:ascii="Times New Roman;serif" w:hAnsi="Times New Roman;serif"/>
          <w:b/>
          <w:sz w:val="20"/>
        </w:rPr>
        <w:t>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stock-based compensation granted to employees and directors, including stock option awards, restricted stock and restricted stock units (“RSUs”) in accordance with FASB ASC Topic 718</w:t>
      </w:r>
      <w:r>
        <w:rPr>
          <w:rFonts w:ascii="Times New Roman;serif" w:hAnsi="Times New Roman;serif"/>
          <w:b w:val="false"/>
          <w:i/>
          <w:sz w:val="20"/>
        </w:rPr>
        <w:t>, “Compensation – Stock Compensation”</w:t>
      </w:r>
      <w:r>
        <w:rPr>
          <w:rFonts w:ascii="Times New Roman" w:hAnsi="Times New Roman"/>
          <w:sz w:val="20"/>
        </w:rPr>
        <w:t xml:space="preserve"> </w:t>
      </w:r>
      <w:r>
        <w:rPr>
          <w:rFonts w:ascii="Times New Roman;serif" w:hAnsi="Times New Roman;serif"/>
          <w:b w:val="false"/>
          <w:sz w:val="20"/>
        </w:rPr>
        <w:t>(“ASC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2008 Equity Incentive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terms of awards granted during the three months ended April 1, 2023 were consistent with those described in the consolidated financial statements included in our Annual Report on Form 10-K for the year ended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stock-based compensation expense included in the condensed consolidated statements of operations for the three months ended April 1, 2023 and April 2, 2022 (in thousands):</w:t>
      </w:r>
    </w:p>
    <w:p>
      <w:pPr>
        <w:pStyle w:val="TextBody"/>
        <w:bidi w:val="0"/>
        <w:spacing w:before="0" w:after="0"/>
        <w:jc w:val="left"/>
        <w:rPr/>
      </w:pPr>
      <w:r>
        <w:rPr/>
        <w:t> </w:t>
      </w:r>
    </w:p>
    <w:tbl>
      <w:tblPr>
        <w:tblW w:w="5078" w:type="dxa"/>
        <w:jc w:val="left"/>
        <w:tblInd w:w="0" w:type="dxa"/>
        <w:tblLayout w:type="fixed"/>
        <w:tblCellMar>
          <w:top w:w="28" w:type="dxa"/>
          <w:left w:w="28" w:type="dxa"/>
          <w:bottom w:w="28" w:type="dxa"/>
          <w:right w:w="28" w:type="dxa"/>
        </w:tblCellMar>
      </w:tblPr>
      <w:tblGrid>
        <w:gridCol w:w="2311"/>
        <w:gridCol w:w="146"/>
        <w:gridCol w:w="355"/>
        <w:gridCol w:w="710"/>
        <w:gridCol w:w="150"/>
        <w:gridCol w:w="150"/>
        <w:gridCol w:w="355"/>
        <w:gridCol w:w="71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Stock-based compensation expense capitalized to inventory was immaterial for the three months ended April 1, 2023 and April 2, 2022.</w:t>
      </w:r>
    </w:p>
    <w:p>
      <w:pPr>
        <w:pStyle w:val="TextBody"/>
        <w:bidi w:val="0"/>
        <w:spacing w:before="120" w:after="0"/>
        <w:jc w:val="left"/>
        <w:rPr>
          <w:rFonts w:ascii="Times New Roman" w:hAnsi="Times New Roman"/>
          <w:sz w:val="20"/>
        </w:rPr>
      </w:pPr>
      <w:r>
        <w:rPr>
          <w:rFonts w:ascii="Times New Roman;serif" w:hAnsi="Times New Roman;serif"/>
          <w:b w:val="false"/>
          <w:sz w:val="20"/>
        </w:rPr>
        <w:t>As of April 1, 2023, there was $1.9</w:t>
      </w:r>
      <w:r>
        <w:rPr>
          <w:rFonts w:ascii="Times New Roman" w:hAnsi="Times New Roman"/>
          <w:sz w:val="20"/>
        </w:rPr>
        <w:t xml:space="preserve"> </w:t>
      </w:r>
      <w:r>
        <w:rPr>
          <w:rFonts w:ascii="Times New Roman;serif" w:hAnsi="Times New Roman;serif"/>
          <w:b w:val="false"/>
          <w:sz w:val="20"/>
        </w:rPr>
        <w:t>million of total unrecognized compensation cost, net of expected forfeitures, related to non-vested stock-based compensation arrangements. The cost is expected to be recognized over a weighted average period of 1.57 years.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Summary of Stock Options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 options information during the three months ended April 1, 2023:</w:t>
      </w:r>
    </w:p>
    <w:p>
      <w:pPr>
        <w:pStyle w:val="TextBody"/>
        <w:bidi w:val="0"/>
        <w:spacing w:before="0" w:after="0"/>
        <w:jc w:val="left"/>
        <w:rPr/>
      </w:pPr>
      <w:r>
        <w:rPr/>
        <w:t> </w:t>
      </w:r>
    </w:p>
    <w:tbl>
      <w:tblPr>
        <w:tblW w:w="7255"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350"/>
        <w:gridCol w:w="775"/>
        <w:gridCol w:w="146"/>
        <w:gridCol w:w="146"/>
        <w:gridCol w:w="473"/>
        <w:gridCol w:w="473"/>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2,232,967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April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weighted average grant date fair value of the options granted was $1.39</w:t>
      </w:r>
      <w:r>
        <w:rPr>
          <w:rFonts w:ascii="Times New Roman" w:hAnsi="Times New Roman"/>
          <w:sz w:val="20"/>
        </w:rPr>
        <w:t xml:space="preserve"> </w:t>
      </w:r>
      <w:r>
        <w:rPr>
          <w:rFonts w:ascii="Times New Roman;serif" w:hAnsi="Times New Roman;serif"/>
          <w:b w:val="false"/>
          <w:sz w:val="20"/>
        </w:rPr>
        <w:t>and $2.85</w:t>
      </w:r>
      <w:r>
        <w:rPr>
          <w:rFonts w:ascii="Times New Roman" w:hAnsi="Times New Roman"/>
          <w:sz w:val="20"/>
        </w:rPr>
        <w:t xml:space="preserve"> </w:t>
      </w:r>
      <w:r>
        <w:rPr>
          <w:rFonts w:ascii="Times New Roman;serif" w:hAnsi="Times New Roman;serif"/>
          <w:b w:val="false"/>
          <w:sz w:val="20"/>
        </w:rPr>
        <w:t>per share for the three months ended April 1, 2023 and April 2,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uses the Black-Scholes option-pricing model to estimate the fair value of stock-based awards (options) with the following weighted average assumptions:</w:t>
      </w:r>
    </w:p>
    <w:p>
      <w:pPr>
        <w:pStyle w:val="TextBody"/>
        <w:bidi w:val="0"/>
        <w:spacing w:before="0" w:after="0"/>
        <w:jc w:val="left"/>
        <w:rPr/>
      </w:pPr>
      <w:r>
        <w:rPr/>
        <w:t> </w:t>
      </w:r>
    </w:p>
    <w:tbl>
      <w:tblPr>
        <w:tblW w:w="5485" w:type="dxa"/>
        <w:jc w:val="left"/>
        <w:tblInd w:w="0" w:type="dxa"/>
        <w:tblLayout w:type="fixed"/>
        <w:tblCellMar>
          <w:top w:w="28" w:type="dxa"/>
          <w:left w:w="28" w:type="dxa"/>
          <w:bottom w:w="28" w:type="dxa"/>
          <w:right w:w="28" w:type="dxa"/>
        </w:tblCellMar>
      </w:tblPr>
      <w:tblGrid>
        <w:gridCol w:w="2476"/>
        <w:gridCol w:w="146"/>
        <w:gridCol w:w="254"/>
        <w:gridCol w:w="811"/>
        <w:gridCol w:w="271"/>
        <w:gridCol w:w="146"/>
        <w:gridCol w:w="254"/>
        <w:gridCol w:w="811"/>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risk free interest rate</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(in years)</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vAlign w:val="center"/>
          </w:tcPr>
          <w:p>
            <w:pPr>
              <w:pStyle w:val="TableContents"/>
              <w:bidi w:val="0"/>
              <w:spacing w:before="0" w:after="0"/>
              <w:ind w:left="0" w:right="0" w:hanging="0"/>
              <w:jc w:val="righ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volatility</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Information regarding stock options outstanding, vested, expected to vest, and exercisable as of April 1, 2023 is summarized below:</w:t>
      </w:r>
    </w:p>
    <w:p>
      <w:pPr>
        <w:pStyle w:val="TextBody"/>
        <w:bidi w:val="0"/>
        <w:spacing w:before="0" w:after="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585"/>
        <w:gridCol w:w="585"/>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w:t>
              <w:br/>
              <w:t>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w:t>
              <w:br/>
              <w:t>Average</w:t>
              <w:br/>
              <w:t xml:space="preserve">Remaining </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Aggregate</w:t>
              <w:br/>
              <w:t>Intrinsic</w:t>
            </w:r>
            <w:r>
              <w:rPr>
                <w:rFonts w:ascii="Times New Roman" w:hAnsi="Times New Roman"/>
                <w:sz w:val="16"/>
              </w:rPr>
              <w:t xml:space="preserve"> </w:t>
            </w:r>
            <w:r>
              <w:rPr>
                <w:rFonts w:ascii="Times New Roman;serif" w:hAnsi="Times New Roman;serif"/>
                <w:b/>
                <w:sz w:val="16"/>
              </w:rPr>
              <w:t>Value</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expected to vest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2,086,540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976,337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in the table above represents the pre-tax intrinsic value, based on the Company’s closing price as of April 1, 2023, that would have been received by option holders had all option holders exercised their stock options as of that date. This amount changes based on the fair market value of the Company’s common stock. The total intrinsic value of options exercised for the three months ended April 1, 2023 and April 2, 2022</w:t>
      </w:r>
      <w:r>
        <w:rPr>
          <w:rFonts w:ascii="Times New Roman" w:hAnsi="Times New Roman"/>
          <w:sz w:val="20"/>
        </w:rPr>
        <w:t xml:space="preserve"> </w:t>
      </w:r>
      <w:r>
        <w:rPr>
          <w:rFonts w:ascii="Times New Roman;serif" w:hAnsi="Times New Roman;serif"/>
          <w:b w:val="false"/>
          <w:sz w:val="20"/>
        </w:rPr>
        <w:t>was approximately $4</w:t>
      </w:r>
      <w:r>
        <w:rPr>
          <w:rFonts w:ascii="Times New Roman" w:hAnsi="Times New Roman"/>
          <w:sz w:val="20"/>
        </w:rPr>
        <w:t xml:space="preserve"> </w:t>
      </w:r>
      <w:r>
        <w:rPr>
          <w:rFonts w:ascii="Times New Roman;serif" w:hAnsi="Times New Roman;serif"/>
          <w:b w:val="false"/>
          <w:sz w:val="20"/>
        </w:rPr>
        <w:t>thousand and $19</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Summary of RSUs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Information regarding RSUs activity for the three months ended April 1, 2023 is summarized below:</w:t>
      </w:r>
    </w:p>
    <w:p>
      <w:pPr>
        <w:pStyle w:val="TextBody"/>
        <w:bidi w:val="0"/>
        <w:spacing w:before="0" w:after="0"/>
        <w:jc w:val="left"/>
        <w:rPr/>
      </w:pPr>
      <w:r>
        <w:rPr/>
        <w:t> </w:t>
      </w:r>
    </w:p>
    <w:tbl>
      <w:tblPr>
        <w:tblW w:w="4450" w:type="dxa"/>
        <w:jc w:val="left"/>
        <w:tblInd w:w="0" w:type="dxa"/>
        <w:tblLayout w:type="fixed"/>
        <w:tblCellMar>
          <w:top w:w="28" w:type="dxa"/>
          <w:left w:w="28" w:type="dxa"/>
          <w:bottom w:w="28" w:type="dxa"/>
          <w:right w:w="28" w:type="dxa"/>
        </w:tblCellMar>
      </w:tblPr>
      <w:tblGrid>
        <w:gridCol w:w="3166"/>
        <w:gridCol w:w="146"/>
        <w:gridCol w:w="146"/>
        <w:gridCol w:w="781"/>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 Shares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473,029</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April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442,069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10. Income Taxes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Provision for Income Tax</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calculates its interim tax provision in accordance with the provisions of ASC Topic 740-270, </w:t>
      </w:r>
      <w:r>
        <w:rPr>
          <w:rFonts w:ascii="Times New Roman;serif" w:hAnsi="Times New Roman;serif"/>
          <w:b w:val="false"/>
          <w:i/>
          <w:sz w:val="20"/>
        </w:rPr>
        <w:t>Income Taxes; Interim Reporting</w:t>
      </w:r>
      <w:r>
        <w:rPr>
          <w:rFonts w:ascii="Times New Roman;serif" w:hAnsi="Times New Roman;serif"/>
          <w:b w:val="false"/>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w:t>
      </w:r>
      <w:r>
        <w:rPr>
          <w:rFonts w:ascii="Times New Roman" w:hAnsi="Times New Roman"/>
          <w:sz w:val="20"/>
        </w:rPr>
        <w:t xml:space="preserve"> </w:t>
      </w:r>
      <w:r>
        <w:rPr>
          <w:rFonts w:ascii="Times New Roman;serif" w:hAnsi="Times New Roman;serif"/>
          <w:b w:val="false"/>
          <w:sz w:val="20"/>
        </w:rPr>
        <w:t>The Company recorded a provision for income tax of $12</w:t>
      </w:r>
      <w:r>
        <w:rPr>
          <w:rFonts w:ascii="Times New Roman" w:hAnsi="Times New Roman"/>
          <w:sz w:val="20"/>
        </w:rPr>
        <w:t xml:space="preserve"> </w:t>
      </w:r>
      <w:r>
        <w:rPr>
          <w:rFonts w:ascii="Times New Roman;serif" w:hAnsi="Times New Roman;serif"/>
          <w:b w:val="false"/>
          <w:sz w:val="20"/>
        </w:rPr>
        <w:t>thousand and $20</w:t>
      </w:r>
      <w:r>
        <w:rPr>
          <w:rFonts w:ascii="Times New Roman" w:hAnsi="Times New Roman"/>
          <w:sz w:val="20"/>
        </w:rPr>
        <w:t xml:space="preserve"> </w:t>
      </w:r>
      <w:r>
        <w:rPr>
          <w:rFonts w:ascii="Times New Roman;serif" w:hAnsi="Times New Roman;serif"/>
          <w:b w:val="false"/>
          <w:sz w:val="20"/>
        </w:rPr>
        <w:t>thousand for the three months ended April 1, 2023 and April 2,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Deferred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accounts for income taxes in accordance with ASC Topic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first quarter of fiscal year 2023,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Uncertain Tax Positions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its uncertain tax positions in accordance with ASC 740. As of December 31, 2022, the Company had $1.4</w:t>
      </w:r>
      <w:r>
        <w:rPr>
          <w:rFonts w:ascii="Times New Roman" w:hAnsi="Times New Roman"/>
          <w:sz w:val="20"/>
        </w:rPr>
        <w:t xml:space="preserve"> </w:t>
      </w:r>
      <w:r>
        <w:rPr>
          <w:rFonts w:ascii="Times New Roman;serif" w:hAnsi="Times New Roman;serif"/>
          <w:b w:val="false"/>
          <w:sz w:val="20"/>
        </w:rPr>
        <w:t>million of unrecognized tax benefits, none</w:t>
      </w:r>
      <w:r>
        <w:rPr>
          <w:rFonts w:ascii="Times New Roman" w:hAnsi="Times New Roman"/>
          <w:sz w:val="20"/>
        </w:rPr>
        <w:t xml:space="preserve"> </w:t>
      </w:r>
      <w:r>
        <w:rPr>
          <w:rFonts w:ascii="Times New Roman;serif" w:hAnsi="Times New Roman;serif"/>
          <w:b w:val="false"/>
          <w:sz w:val="20"/>
        </w:rPr>
        <w:t>of the unrecognized tax benefits would result in a change in the Company’s effective tax rate if recognized in future 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not aware of any other uncertain tax positions that could result in significant additional payments, accruals, or other material deviation in this estimate during the fiscal year.</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United States federal income tax as well as to income taxes in state jurisdictions. The Company’s federal and state income tax returns are open to examination by tax authorities for three years</w:t>
      </w:r>
      <w:r>
        <w:rPr>
          <w:rFonts w:ascii="Times New Roman" w:hAnsi="Times New Roman"/>
          <w:sz w:val="20"/>
        </w:rPr>
        <w:t xml:space="preserve"> </w:t>
      </w:r>
      <w:r>
        <w:rPr>
          <w:rFonts w:ascii="Times New Roman;serif" w:hAnsi="Times New Roman;serif"/>
          <w:b w:val="false"/>
          <w:sz w:val="20"/>
        </w:rPr>
        <w:t>and three-to-five years,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11. Computation of Basic and Diluted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April 1, 2023 and April 2, 2022, potential shares from stock options and RSUs totaling 2,301,437</w:t>
      </w:r>
      <w:r>
        <w:rPr>
          <w:rFonts w:ascii="Times New Roman" w:hAnsi="Times New Roman"/>
          <w:sz w:val="20"/>
        </w:rPr>
        <w:t xml:space="preserve"> </w:t>
      </w:r>
      <w:r>
        <w:rPr>
          <w:rFonts w:ascii="Times New Roman;serif" w:hAnsi="Times New Roman;serif"/>
          <w:b w:val="false"/>
          <w:sz w:val="20"/>
        </w:rPr>
        <w:t>and 1,707,698</w:t>
      </w:r>
      <w:r>
        <w:rPr>
          <w:rFonts w:ascii="Times New Roman" w:hAnsi="Times New Roman"/>
          <w:sz w:val="20"/>
        </w:rPr>
        <w:t xml:space="preserve"> </w:t>
      </w:r>
      <w:r>
        <w:rPr>
          <w:rFonts w:ascii="Times New Roman;serif" w:hAnsi="Times New Roman;serif"/>
          <w:b w:val="false"/>
          <w:sz w:val="20"/>
        </w:rPr>
        <w:t>shares, respectively, were excluded from the computation of diluted weighted average shares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reconciliation of the numerator and denominator of basic and diluted net loss per common share is provided as follows (in thousands except per share data):</w:t>
      </w:r>
    </w:p>
    <w:p>
      <w:pPr>
        <w:pStyle w:val="TextBody"/>
        <w:bidi w:val="0"/>
        <w:spacing w:before="0" w:after="0"/>
        <w:jc w:val="left"/>
        <w:rPr/>
      </w:pPr>
      <w:r>
        <w:rPr/>
        <w:t> </w:t>
      </w:r>
    </w:p>
    <w:tbl>
      <w:tblPr>
        <w:tblW w:w="7520" w:type="dxa"/>
        <w:jc w:val="left"/>
        <w:tblInd w:w="0" w:type="dxa"/>
        <w:tblLayout w:type="fixed"/>
        <w:tblCellMar>
          <w:top w:w="28" w:type="dxa"/>
          <w:left w:w="28" w:type="dxa"/>
          <w:bottom w:w="28" w:type="dxa"/>
          <w:right w:w="28" w:type="dxa"/>
        </w:tblCellMar>
      </w:tblPr>
      <w:tblGrid>
        <w:gridCol w:w="4321"/>
        <w:gridCol w:w="146"/>
        <w:gridCol w:w="253"/>
        <w:gridCol w:w="812"/>
        <w:gridCol w:w="166"/>
        <w:gridCol w:w="146"/>
        <w:gridCol w:w="253"/>
        <w:gridCol w:w="812"/>
        <w:gridCol w:w="6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of common stock (basic)</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of common stock (diluted)</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Per share data:</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 net loss per share</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 net loss per share</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12. Business Segments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operates in one</w:t>
      </w:r>
      <w:r>
        <w:rPr>
          <w:rFonts w:ascii="Times New Roman" w:hAnsi="Times New Roman"/>
          <w:sz w:val="20"/>
        </w:rPr>
        <w:t xml:space="preserve"> </w:t>
      </w:r>
      <w:r>
        <w:rPr>
          <w:rFonts w:ascii="Times New Roman;serif" w:hAnsi="Times New Roman;serif"/>
          <w:b w:val="false"/>
          <w:sz w:val="20"/>
        </w:rPr>
        <w:t>segment, ophthalmology. The Company develops, manufactures and markets medical devices. Our revenues arise from the sale of consoles, delivery devices, consumables, service, and support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information shown by product group is as follows (in thousands):</w:t>
      </w:r>
    </w:p>
    <w:p>
      <w:pPr>
        <w:pStyle w:val="TextBody"/>
        <w:bidi w:val="0"/>
        <w:spacing w:before="0" w:after="0"/>
        <w:jc w:val="left"/>
        <w:rPr/>
      </w:pPr>
      <w:r>
        <w:rPr/>
        <w:t> </w:t>
      </w:r>
    </w:p>
    <w:tbl>
      <w:tblPr>
        <w:tblW w:w="3934" w:type="dxa"/>
        <w:jc w:val="left"/>
        <w:tblInd w:w="0" w:type="dxa"/>
        <w:tblLayout w:type="fixed"/>
        <w:tblCellMar>
          <w:top w:w="28" w:type="dxa"/>
          <w:left w:w="28" w:type="dxa"/>
          <w:bottom w:w="28" w:type="dxa"/>
          <w:right w:w="28" w:type="dxa"/>
        </w:tblCellMar>
      </w:tblPr>
      <w:tblGrid>
        <w:gridCol w:w="1321"/>
        <w:gridCol w:w="253"/>
        <w:gridCol w:w="812"/>
        <w:gridCol w:w="146"/>
        <w:gridCol w:w="146"/>
        <w:gridCol w:w="253"/>
        <w:gridCol w:w="812"/>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center"/>
              <w:rPr/>
            </w:pPr>
            <w:r>
              <w:rPr/>
              <w:t> </w:t>
            </w:r>
          </w:p>
        </w:tc>
        <w:tc>
          <w:tcPr>
            <w:tcW w:w="24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Cyclo G6</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3,540</w:t>
            </w:r>
          </w:p>
        </w:tc>
        <w:tc>
          <w:tcPr>
            <w:tcW w:w="19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Retina</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7,301</w:t>
            </w:r>
          </w:p>
        </w:tc>
        <w:tc>
          <w:tcPr>
            <w:tcW w:w="19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Other(1)</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(1) Includes service contract revenues of $383</w:t>
      </w:r>
      <w:r>
        <w:rPr>
          <w:rFonts w:ascii="Times New Roman" w:hAnsi="Times New Roman"/>
          <w:sz w:val="20"/>
        </w:rPr>
        <w:t xml:space="preserve"> </w:t>
      </w:r>
      <w:r>
        <w:rPr>
          <w:rFonts w:ascii="Times New Roman;serif" w:hAnsi="Times New Roman;serif"/>
          <w:b w:val="false"/>
          <w:sz w:val="20"/>
        </w:rPr>
        <w:t>thousand and $362</w:t>
      </w:r>
      <w:r>
        <w:rPr>
          <w:rFonts w:ascii="Times New Roman" w:hAnsi="Times New Roman"/>
          <w:sz w:val="20"/>
        </w:rPr>
        <w:t xml:space="preserve"> </w:t>
      </w:r>
      <w:r>
        <w:rPr>
          <w:rFonts w:ascii="Times New Roman;serif" w:hAnsi="Times New Roman;serif"/>
          <w:b w:val="false"/>
          <w:sz w:val="20"/>
        </w:rPr>
        <w:t>thousand recognized during the three months ended April 1, 2023 and April 2, 2022, respectively. Includes $364</w:t>
      </w:r>
      <w:r>
        <w:rPr>
          <w:rFonts w:ascii="Times New Roman" w:hAnsi="Times New Roman"/>
          <w:sz w:val="20"/>
        </w:rPr>
        <w:t xml:space="preserve"> </w:t>
      </w:r>
      <w:r>
        <w:rPr>
          <w:rFonts w:ascii="Times New Roman;serif" w:hAnsi="Times New Roman;serif"/>
          <w:b w:val="false"/>
          <w:sz w:val="20"/>
        </w:rPr>
        <w:t>thousand and $277</w:t>
      </w:r>
      <w:r>
        <w:rPr>
          <w:rFonts w:ascii="Times New Roman" w:hAnsi="Times New Roman"/>
          <w:sz w:val="20"/>
        </w:rPr>
        <w:t xml:space="preserve"> </w:t>
      </w:r>
      <w:r>
        <w:rPr>
          <w:rFonts w:ascii="Times New Roman;serif" w:hAnsi="Times New Roman;serif"/>
          <w:b w:val="false"/>
          <w:sz w:val="20"/>
        </w:rPr>
        <w:t>thousand recognized revenue related to the exclusive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distribution rights during the three months ended April 1, 2023 and April 2, 2022, respectively. Other also includes revenues from paid service, royalty, freight and legacy G probes.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Revenue information shown by geographic region, based on the sales destination, is as follows (in thousands):</w:t>
      </w:r>
    </w:p>
    <w:p>
      <w:pPr>
        <w:pStyle w:val="TextBody"/>
        <w:bidi w:val="0"/>
        <w:spacing w:before="0" w:after="0"/>
        <w:jc w:val="left"/>
        <w:rPr/>
      </w:pPr>
      <w:r>
        <w:rPr/>
        <w:t> </w:t>
      </w:r>
    </w:p>
    <w:tbl>
      <w:tblPr>
        <w:tblW w:w="5284" w:type="dxa"/>
        <w:jc w:val="left"/>
        <w:tblInd w:w="0" w:type="dxa"/>
        <w:tblLayout w:type="fixed"/>
        <w:tblCellMar>
          <w:top w:w="28" w:type="dxa"/>
          <w:left w:w="28" w:type="dxa"/>
          <w:bottom w:w="28" w:type="dxa"/>
          <w:right w:w="28" w:type="dxa"/>
        </w:tblCellMar>
      </w:tblPr>
      <w:tblGrid>
        <w:gridCol w:w="2671"/>
        <w:gridCol w:w="253"/>
        <w:gridCol w:w="812"/>
        <w:gridCol w:w="146"/>
        <w:gridCol w:w="146"/>
        <w:gridCol w:w="253"/>
        <w:gridCol w:w="812"/>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24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6,543</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 Middle East and Africa</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Asia/Pacific Rim</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2,853</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Americas</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Revenues are attributed to countries based on the location of end customers.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than the United States, the Netherlands accounted for at least 10% of the Company’s revenues during the three months ended April 1, 2023, representing 16%. Other than the United States, Japan and the Netherlands accounted for at least 10% of the Company’s revenues during the three months ended April 2, 2022, representing 12% and 10%, respectively. The United States accounted for 49.4% and 48.9% of revenues for the three months ended April 1, 2023 and April 2,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0"/>
        <w:jc w:val="left"/>
        <w:rPr>
          <w:rFonts w:ascii="Times New Roman" w:hAnsi="Times New Roman"/>
          <w:sz w:val="20"/>
        </w:rPr>
      </w:pPr>
      <w:r>
        <w:rPr>
          <w:rFonts w:ascii="Times New Roman;serif" w:hAnsi="Times New Roman;serif"/>
          <w:b w:val="false"/>
          <w:sz w:val="20"/>
        </w:rPr>
        <w:t>Our propriety MicroPulse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consist of laser consoles, delivery devices and consumable probes.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laser consoles consist of the following product lines: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Glaucoma</w:t>
      </w:r>
      <w:r>
        <w:rPr/>
        <w:t xml:space="preserve"> – </w:t>
      </w:r>
      <w:r>
        <w:rPr>
          <w:rFonts w:ascii="Times New Roman;serif" w:hAnsi="Times New Roman;serif"/>
          <w:b w:val="false"/>
          <w:sz w:val="20"/>
        </w:rPr>
        <w:t>Our primary glaucoma console line is the Cyclo G6</w:t>
      </w:r>
      <w:r>
        <w:rPr>
          <w:rFonts w:ascii="Times New Roman;serif" w:hAnsi="Times New Roman;serif"/>
          <w:b w:val="false"/>
          <w:sz w:val="13"/>
        </w:rPr>
        <w:t>®</w:t>
      </w:r>
      <w:r>
        <w:rPr/>
        <w:t xml:space="preserve"> </w:t>
      </w:r>
      <w:r>
        <w:rPr>
          <w:rFonts w:ascii="Times New Roman;serif" w:hAnsi="Times New Roman;serif"/>
          <w:b w:val="false"/>
          <w:sz w:val="20"/>
        </w:rPr>
        <w:t>laser system with MicroPulse technology. In addition, our medical retina consoles have features supporting glaucoma laser treatments.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Medical Retina</w:t>
      </w:r>
      <w:r>
        <w:rPr/>
        <w:t xml:space="preserve"> – </w:t>
      </w:r>
      <w:r>
        <w:rPr>
          <w:rFonts w:ascii="Times New Roman;serif" w:hAnsi="Times New Roman;serif"/>
          <w:b w:val="false"/>
          <w:sz w:val="20"/>
        </w:rPr>
        <w:t>Our medical-retina product line includes our portable IQ 532</w:t>
      </w:r>
      <w:r>
        <w:rPr>
          <w:rFonts w:ascii="Times New Roman;serif" w:hAnsi="Times New Roman;serif"/>
          <w:b w:val="false"/>
          <w:sz w:val="13"/>
        </w:rPr>
        <w:t>®</w:t>
      </w:r>
      <w:r>
        <w:rPr/>
        <w:t xml:space="preserve"> </w:t>
      </w:r>
      <w:r>
        <w:rPr>
          <w:rFonts w:ascii="Times New Roman;serif" w:hAnsi="Times New Roman;serif"/>
          <w:b w:val="false"/>
          <w:sz w:val="20"/>
        </w:rPr>
        <w:t>and IQ 577</w:t>
      </w:r>
      <w:r>
        <w:rPr>
          <w:rFonts w:ascii="Times New Roman;serif" w:hAnsi="Times New Roman;serif"/>
          <w:b w:val="false"/>
          <w:sz w:val="13"/>
        </w:rPr>
        <w:t>®</w:t>
      </w:r>
      <w:r>
        <w:rPr/>
        <w:t xml:space="preserve"> </w:t>
      </w:r>
      <w:r>
        <w:rPr>
          <w:rFonts w:ascii="Times New Roman;serif" w:hAnsi="Times New Roman;serif"/>
          <w:b w:val="false"/>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Surgical Retina</w:t>
      </w:r>
      <w:r>
        <w:rPr/>
        <w:t xml:space="preserve"> – </w:t>
      </w:r>
      <w:r>
        <w:rPr>
          <w:rFonts w:ascii="Times New Roman;serif" w:hAnsi="Times New Roman;serif"/>
          <w:b w:val="false"/>
          <w:sz w:val="20"/>
        </w:rPr>
        <w:t>Our surgical-retina product line includes our OcuLight</w:t>
      </w:r>
      <w:r>
        <w:rPr>
          <w:rFonts w:ascii="Times New Roman;serif" w:hAnsi="Times New Roman;serif"/>
          <w:b w:val="false"/>
          <w:sz w:val="13"/>
        </w:rPr>
        <w:t>®</w:t>
      </w:r>
      <w:r>
        <w:rPr/>
        <w:t xml:space="preserve"> </w:t>
      </w:r>
      <w:r>
        <w:rPr>
          <w:rFonts w:ascii="Times New Roman;serif" w:hAnsi="Times New Roman;serif"/>
          <w:b w:val="false"/>
          <w:sz w:val="20"/>
        </w:rPr>
        <w:t>TX and OcuLight</w:t>
      </w:r>
      <w:r>
        <w:rPr>
          <w:rFonts w:ascii="Times New Roman;serif" w:hAnsi="Times New Roman;serif"/>
          <w:b w:val="false"/>
          <w:sz w:val="13"/>
        </w:rPr>
        <w:t>®</w:t>
      </w:r>
      <w:r>
        <w:rPr/>
        <w:t xml:space="preserve"> </w:t>
      </w:r>
      <w:r>
        <w:rPr>
          <w:rFonts w:ascii="Times New Roman;serif" w:hAnsi="Times New Roman;serif"/>
          <w:b w:val="false"/>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laser probes consist of the following product lines: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Glaucoma</w:t>
      </w:r>
      <w:r>
        <w:rPr/>
        <w:t xml:space="preserve"> – </w:t>
      </w:r>
      <w:r>
        <w:rPr>
          <w:rFonts w:ascii="Times New Roman;serif" w:hAnsi="Times New Roman;serif"/>
          <w:b w:val="false"/>
          <w:sz w:val="20"/>
        </w:rPr>
        <w:t>Probes used in our glaucoma product line include our patented single-use delivery devices - MicroPulse P3</w:t>
      </w:r>
      <w:r>
        <w:rPr>
          <w:rFonts w:ascii="Times New Roman;serif" w:hAnsi="Times New Roman;serif"/>
          <w:b w:val="false"/>
          <w:sz w:val="13"/>
        </w:rPr>
        <w:t>®</w:t>
      </w:r>
      <w:r>
        <w:rPr>
          <w:rFonts w:ascii="Times New Roman;serif" w:hAnsi="Times New Roman;serif"/>
          <w:b w:val="false"/>
          <w:sz w:val="20"/>
        </w:rPr>
        <w:t>, G-Probe</w:t>
      </w:r>
      <w:r>
        <w:rPr>
          <w:rFonts w:ascii="Times New Roman;serif" w:hAnsi="Times New Roman;serif"/>
          <w:b w:val="false"/>
          <w:sz w:val="13"/>
        </w:rPr>
        <w:t>®</w:t>
      </w:r>
      <w:r>
        <w:rPr>
          <w:rFonts w:ascii="Times New Roman;serif" w:hAnsi="Times New Roman;serif"/>
          <w:b w:val="false"/>
          <w:sz w:val="20"/>
        </w:rPr>
        <w:t>, and G-Probe Illuminate</w:t>
      </w:r>
      <w:r>
        <w:rPr>
          <w:rFonts w:ascii="Times New Roman;serif" w:hAnsi="Times New Roman;serif"/>
          <w:b w:val="false"/>
          <w:sz w:val="13"/>
        </w:rPr>
        <w:t>®</w:t>
      </w:r>
      <w:r>
        <w:rPr>
          <w:rFonts w:ascii="Times New Roman;serif" w:hAnsi="Times New Roman;serif"/>
          <w:b w:val="false"/>
          <w:sz w:val="20"/>
        </w:rPr>
        <w:t>.</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Surgical Retina</w:t>
      </w:r>
      <w:r>
        <w:rPr/>
        <w:t xml:space="preserve"> – </w:t>
      </w:r>
      <w:r>
        <w:rPr>
          <w:rFonts w:ascii="Times New Roman;serif" w:hAnsi="Times New Roman;serif"/>
          <w:b w:val="false"/>
          <w:sz w:val="20"/>
        </w:rPr>
        <w:t>Probes used in our surgical-retina product line include our family of single-use EndoProbe</w:t>
      </w:r>
      <w:r>
        <w:rPr>
          <w:rFonts w:ascii="Times New Roman;serif" w:hAnsi="Times New Roman;serif"/>
          <w:b w:val="false"/>
          <w:sz w:val="13"/>
        </w:rPr>
        <w:t>®</w:t>
      </w:r>
      <w:r>
        <w:rPr/>
        <w:t xml:space="preserve"> </w:t>
      </w:r>
      <w:r>
        <w:rPr>
          <w:rFonts w:ascii="Times New Roman;serif" w:hAnsi="Times New Roman;serif"/>
          <w:b w:val="false"/>
          <w:sz w:val="20"/>
        </w:rPr>
        <w:t>handpieces.</w:t>
      </w:r>
    </w:p>
    <w:p>
      <w:pPr>
        <w:pStyle w:val="TextBody"/>
        <w:bidi w:val="0"/>
        <w:spacing w:before="120" w:after="0"/>
        <w:jc w:val="left"/>
        <w:rPr>
          <w:rFonts w:ascii="Times New Roman" w:hAnsi="Times New Roman"/>
          <w:sz w:val="20"/>
        </w:rPr>
      </w:pPr>
      <w:r>
        <w:rPr>
          <w:rFonts w:ascii="Times New Roman;serif" w:hAnsi="Times New Roman;serif"/>
          <w:b w:val="false"/>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serif" w:hAnsi="Times New Roman;serif"/>
          <w:b w:val="false"/>
          <w:sz w:val="13"/>
        </w:rPr>
        <w:t>®</w:t>
      </w:r>
      <w:r>
        <w:rPr>
          <w:rFonts w:ascii="Times New Roman;serif" w:hAnsi="Times New Roman;serif"/>
          <w:b w:val="false"/>
          <w:sz w:val="20"/>
        </w:rPr>
        <w:t>, G-Probe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G-Probe Illuminate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delivery devices, and EndoProbe handpieces. In the offices and clinics, ophthalmologists use our laser systems with either an indirect laser ophthalmoscope or a slit-lamp adapter.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are sold in the United States and Germany predominantly through a direct sales force and internationally (aside from Germany) primarily through independent distributors.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0"/>
        <w:jc w:val="left"/>
        <w:rPr>
          <w:rFonts w:ascii="Times New Roman" w:hAnsi="Times New Roman"/>
          <w:sz w:val="20"/>
        </w:rPr>
      </w:pPr>
      <w:r>
        <w:rPr>
          <w:rFonts w:ascii="Times New Roman;serif" w:hAnsi="Times New Roman;serif"/>
          <w:b w:val="false"/>
          <w:sz w:val="20"/>
        </w:rPr>
        <w:t>Cost of revenues consists primarily of our direct manufacturing costs which include the cost of components and sub-systems, assembling, packaging, shipping and testing components at our facility, direct labor and associated overhead, warranty, royalty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amortization of intangible assets and depot service costs. For certain of our products, we are responsible for the cost of the fully assembled product that is manufactured by a third-party.</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expenses consist primarily of costs of personnel, sales commissions, travel expenses, advertising and promotional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0"/>
        <w:jc w:val="left"/>
        <w:rPr>
          <w:rFonts w:ascii="Times New Roman;serif" w:hAnsi="Times New Roman;serif"/>
          <w:b/>
          <w:sz w:val="20"/>
        </w:rPr>
      </w:pPr>
      <w:r>
        <w:rPr>
          <w:rFonts w:ascii="Times New Roman;serif" w:hAnsi="Times New Roman;serif"/>
          <w:b/>
          <w:sz w:val="20"/>
        </w:rPr>
        <w:t>Impact of Macroeconomic Conditions to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Current macroeconomic conditions, including any future resurgence of the COVID-19 pandemic and efforts to mitigate its impact, recessionary fears, inflation concerns, rising interest rates as a result of government actions to combat inflation, potential federal debt default and uncertainty in the global banking and financial services market, as well as other geopolitical developments, have impacted and may continue to impact business spending and the economy as a whole. As a result, we have seen customers opting for shorter deals and negative effects from foreign exchange fluctuations that have impacted and may continue to impact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macroeconomic conditions on our business and operations remains highly uncertain, and it is not possible for us to predict the duration and extent to which they will affect our business, future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more information on risks associated with the current macroeconomic conditions, see the section titled “Risk Factors” in Item 1A of Part II.</w:t>
      </w:r>
    </w:p>
    <w:p>
      <w:pPr>
        <w:pStyle w:val="TextBody"/>
        <w:bidi w:val="0"/>
        <w:spacing w:before="12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certain operating data as a percentage of revenues:</w:t>
      </w:r>
    </w:p>
    <w:p>
      <w:pPr>
        <w:pStyle w:val="TextBody"/>
        <w:bidi w:val="0"/>
        <w:spacing w:before="0" w:after="0"/>
        <w:jc w:val="left"/>
        <w:rPr/>
      </w:pPr>
      <w:r>
        <w:rPr/>
        <w:t> </w:t>
      </w:r>
    </w:p>
    <w:tbl>
      <w:tblPr>
        <w:tblW w:w="7705" w:type="dxa"/>
        <w:jc w:val="left"/>
        <w:tblInd w:w="0" w:type="dxa"/>
        <w:tblLayout w:type="fixed"/>
        <w:tblCellMar>
          <w:top w:w="28" w:type="dxa"/>
          <w:left w:w="28" w:type="dxa"/>
          <w:bottom w:w="28" w:type="dxa"/>
          <w:right w:w="28" w:type="dxa"/>
        </w:tblCellMar>
      </w:tblPr>
      <w:tblGrid>
        <w:gridCol w:w="4576"/>
        <w:gridCol w:w="146"/>
        <w:gridCol w:w="217"/>
        <w:gridCol w:w="848"/>
        <w:gridCol w:w="331"/>
        <w:gridCol w:w="146"/>
        <w:gridCol w:w="217"/>
        <w:gridCol w:w="848"/>
        <w:gridCol w:w="37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0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righ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 before provision for income taxes</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vAlign w:val="center"/>
          </w:tcPr>
          <w:p>
            <w:pPr>
              <w:pStyle w:val="TableContents"/>
              <w:bidi w:val="0"/>
              <w:spacing w:before="0" w:after="0"/>
              <w:ind w:left="0" w:right="0" w:hanging="0"/>
              <w:jc w:val="left"/>
              <w:rPr/>
            </w:pPr>
            <w:r>
              <w:rPr/>
              <w:t> </w:t>
            </w:r>
          </w:p>
        </w:tc>
        <w:tc>
          <w:tcPr>
            <w:tcW w:w="8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The following comparisons are between the three months ended April 1, 2023 and April 2, 2022 (in thousands):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Revenues</w:t>
      </w:r>
    </w:p>
    <w:p>
      <w:pPr>
        <w:pStyle w:val="TextBody"/>
        <w:bidi w:val="0"/>
        <w:spacing w:before="0" w:after="0"/>
        <w:jc w:val="left"/>
        <w:rPr/>
      </w:pPr>
      <w:r>
        <w:rPr/>
        <w:t> </w:t>
      </w:r>
    </w:p>
    <w:tbl>
      <w:tblPr>
        <w:tblW w:w="7974" w:type="dxa"/>
        <w:jc w:val="left"/>
        <w:tblInd w:w="0" w:type="dxa"/>
        <w:tblLayout w:type="fixed"/>
        <w:tblCellMar>
          <w:top w:w="28" w:type="dxa"/>
          <w:left w:w="28" w:type="dxa"/>
          <w:bottom w:w="28" w:type="dxa"/>
          <w:right w:w="28" w:type="dxa"/>
        </w:tblCellMar>
      </w:tblPr>
      <w:tblGrid>
        <w:gridCol w:w="1321"/>
        <w:gridCol w:w="146"/>
        <w:gridCol w:w="382"/>
        <w:gridCol w:w="1223"/>
        <w:gridCol w:w="146"/>
        <w:gridCol w:w="146"/>
        <w:gridCol w:w="382"/>
        <w:gridCol w:w="1223"/>
        <w:gridCol w:w="146"/>
        <w:gridCol w:w="146"/>
        <w:gridCol w:w="324"/>
        <w:gridCol w:w="651"/>
        <w:gridCol w:w="166"/>
        <w:gridCol w:w="146"/>
        <w:gridCol w:w="249"/>
        <w:gridCol w:w="801"/>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April 2,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Cyclo G6</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Retina</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total revenues increased by $0.3 million, or 2.4%, from $13.4 million to $13.7 million. The increase was primarily driven by growth in Cyclo G6 probes and Legacy G probes.</w:t>
      </w:r>
    </w:p>
    <w:p>
      <w:pPr>
        <w:pStyle w:val="TextBody"/>
        <w:bidi w:val="0"/>
        <w:spacing w:before="120" w:after="0"/>
        <w:jc w:val="left"/>
        <w:rPr>
          <w:rFonts w:ascii="Times New Roman" w:hAnsi="Times New Roman"/>
          <w:sz w:val="20"/>
        </w:rPr>
      </w:pPr>
      <w:r>
        <w:rPr>
          <w:rFonts w:ascii="Times New Roman;serif" w:hAnsi="Times New Roman;serif"/>
          <w:b w:val="false"/>
          <w:sz w:val="20"/>
        </w:rPr>
        <w:t>While we believe that demand for our products remains and our outlook has improved, the overall capital expenditure landscape within hospitals, surgical centers and physician offices may be negatively impacted by any resurgence of the COVID-19 pandemic</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and the spread of other variants. Until the COVID-19 pandemic subsides, we anticipate capital expenditures may continue to be deferred.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Gross Profit and Gross Margin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remained relatively flat at $5.9 million. Gross margin decreased by 1.3% from 44.6% to 43.3%. The decrease in gross margin was driven by higher manufacturing overhead.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(“R&amp;D”) expenses decreased by $0.4 million, or 17.3%, from $2.1 million to $1.7 million. Spending on investment in PASCAL product line and on new and expanded product portfolio decreased as we completed these new projects.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Sales and Marketing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and marketing expenses remained relatively flat at $4.3 million. Although additional headcount increased personnel and other related costs, there was an offset in marketing and advertising costs as we recently completed the release of a new system product.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$0.5 million, or 22.4%, from $1.8 million to $2.3 million. The increase was attributable to increases in legal expenses for general corporate matters and higher personnel and other related costs due to higher headcount.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net was $0.3 million for the three months ended April 1, 2023 compared to other expense, net, of $0.1 million for the three months ended April 2, 2022. Other income (expense), net, consisted primarily of interest income or expense and foreign currency gain or loss.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Income Taxes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recorded an income tax provision of $12 thousand and $20 thousand for the three months ended April 1, 2023 and April 2, 2022, respectively.</w:t>
      </w:r>
    </w:p>
    <w:p>
      <w:pPr>
        <w:pStyle w:val="TextBody"/>
        <w:bidi w:val="0"/>
        <w:spacing w:before="120" w:after="0"/>
        <w:jc w:val="left"/>
        <w:rPr>
          <w:rFonts w:ascii="Times New Roman" w:hAnsi="Times New Roman"/>
          <w:sz w:val="20"/>
        </w:rPr>
      </w:pPr>
      <w:r>
        <w:rPr>
          <w:rFonts w:ascii="Times New Roman;serif" w:hAnsi="Times New Roman;serif"/>
          <w:b w:val="false"/>
          <w:i/>
          <w:sz w:val="20"/>
        </w:rPr>
        <w:t>Liquidity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0"/>
        <w:jc w:val="left"/>
        <w:rPr>
          <w:rFonts w:ascii="Times New Roman" w:hAnsi="Times New Roman"/>
          <w:sz w:val="20"/>
        </w:rPr>
      </w:pPr>
      <w:r>
        <w:rPr>
          <w:rFonts w:ascii="Times New Roman;serif" w:hAnsi="Times New Roman;serif"/>
          <w:b w:val="false"/>
          <w:sz w:val="20"/>
        </w:rPr>
        <w:t>As of April 1, 2023, we had cash and cash equivalents of $11.0 million and working capital of $21.5 million compared to cash and cash equivalents of $13.9 million and working capital of $23.3 million as of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$2.8 million in the three months ended April 1, 2023 compared to net cash used in operating activities of $3.3 million in the three months ended April 2, 2022. The decrease in net cash used by operating activities, expressed in direct cash flow terms, was primarily due to a decrease in vendor payments as we try to strategically manage our cash flows, offset by a decrease in cash receipts from customers.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three months ended April 1, 2023, net cash used in investing activities was $43 thousand, which consisted of capital expenditures. For the three months ended April 2, 2022, net cash used in investing activities was $26 thousand for capital expenditures.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three months ended April 1, 2023, net cash provided by financing activities was $37 thousand, primarily from the net proceeds arising from the proceeds from stock option exercises. For the three months ended April 2, 2022, net cash provided by financing activities was $6 thousand, primarily from proceeds from stock option exercises.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historically funded our operations primarily through sales of our products to customers, sales of our common stock and borrowing arrangements. As of April 1, 2023, our principal sources of liquidity consisted of cash and cash equivalents of $11.0 million. We have incurred net losses over the last several years, and as of April 1, 2023, have an accumulated deficit of approximately $71.6 million. We expect to continue to incur operating losses and negative cash flows from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an existing Loan and Security Agreement (“Loan Agreement”) with Silicon Valley Bank (“SVB”) providing for up to $8.0 million secured revolving loan facility (“Revolving Loan Facility”). In March 2022, the Fourth Amendment to the Loan Agreement was executed primarily to extend the term through May 31, 2022. In June 2022, the Fifth Amendment to the Loan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Agreement was executed primarily to extend the term through December 1, 2023. As of April 1, 2023 and December 31, 2022, there were no amounts outstanding under the Loan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10, 2023, SVB was placed into receivership by the Federal Deposit Insurance Corporation (“FDIC”). On March 13, 2023, the FDIC announced that it had transferred all insured and uninsured deposits and substantially all assets of SVB to a newly created, full-service FDIC-operated “bridge bank” called Silicon Valley Bridge Bank, N.A. (“SVBB”), where depositors would have full access to their money immediately. On March 27, 2023, First Citizens BancShares, Inc. (“First Citizens”) announced that it had enetered into an agreement with the FDIC to purchase all of the assets and liabilities of SVBB. SVBB will operate as a division of First Citizens. We currently have full control of our cash and cash equivalents balance, and SVBB will continue to honor the terms of our existing Revolving Loan Facility.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item_3_quantitative_qualitative_disclosu"/>
      <w:bookmarkEnd w:id="12"/>
      <w:r>
        <w:rPr>
          <w:rFonts w:ascii="Times New Roman;serif" w:hAnsi="Times New Roman;serif"/>
          <w:b/>
          <w:sz w:val="20"/>
        </w:rPr>
        <w:t>Item 3. Quantitative and Qualitative Disclosure about Market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“smaller reporting company,” as defined in Rule 12b-2 of the Exchange Act, we are not required to provide the information called for by this Item.</w:t>
      </w:r>
    </w:p>
    <w:p>
      <w:pPr>
        <w:pStyle w:val="TextBody"/>
        <w:bidi w:val="0"/>
        <w:spacing w:before="12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April 1, 2023. Based on the foregoing, our Principal Executive Officer and our Principal Financial Officer concluded that our disclosure controls and procedures were effective at the reasonable assurance level.</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4" w:name="part_ii_or_information"/>
      <w:bookmarkEnd w:id="14"/>
      <w:r>
        <w:rPr>
          <w:rFonts w:ascii="Times New Roman;serif" w:hAnsi="Times New Roman;serif"/>
          <w:b/>
          <w:sz w:val="20"/>
        </w:rPr>
        <w:t>PART II. OTHER INFORMATION</w:t>
      </w:r>
    </w:p>
    <w:p>
      <w:pPr>
        <w:pStyle w:val="TextBody"/>
        <w:bidi w:val="0"/>
        <w:spacing w:before="120" w:after="0"/>
        <w:jc w:val="left"/>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0"/>
        <w:jc w:val="left"/>
        <w:rPr>
          <w:rFonts w:ascii="Times New Roman;serif" w:hAnsi="Times New Roman;serif"/>
          <w:b/>
          <w:sz w:val="20"/>
        </w:rPr>
      </w:pPr>
      <w:bookmarkStart w:id="16" w:name="item_1a_risk_factors"/>
      <w:bookmarkEnd w:id="16"/>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120" w:after="0"/>
        <w:jc w:val="left"/>
        <w:rPr>
          <w:rFonts w:ascii="Times New Roman;serif" w:hAnsi="Times New Roman;serif"/>
          <w:b/>
          <w:sz w:val="20"/>
          <w:u w:val="single"/>
        </w:rPr>
      </w:pPr>
      <w:r>
        <w:rPr>
          <w:rFonts w:ascii="Times New Roman;serif" w:hAnsi="Times New Roman;serif"/>
          <w:b/>
          <w:sz w:val="20"/>
          <w:u w:val="single"/>
        </w:rPr>
        <w:t>Risk Factor Summary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operations are subject to numerous risks, factors and uncertainties outside of our control that could cause our actual results to be harmed, including risks regarding the following:</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economic factors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general macroeconomic conditions, including inflationary pressures and rising interest rates, uncertainty in the global banking and financial services market, potential federal debt default, any future resurgence in the COVID-19 pandemic and responsive measures and the war between Russia and Ukraine.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Operational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our relationship with our strategic partner and main distributor Topcon;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quality control and production issues;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complexity of our laser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defects in our laser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direct and independent sales forces and a network of international distributors to sell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international sales;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new products and applications and improving existing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our sales and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ophthalmology market;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competition in our industry;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collaborative relationships used to enhance products and applications;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sales volumes, results of operations, and revenues;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loss of key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meeting product demand;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sole source and limited source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catastrophic loss;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disruptions to our information technology system and breaches of data security;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relationships with health care providers;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misuse of our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reputation and brand;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inability of our customers to obtain credit or material increases in interest rates;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developments affecting financial institutions, including bank failures;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recalls of our products;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managing growth effectively.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Regulatory and legal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healthcare reform measures;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coverage and reimbursement policies;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compliance with healthcare laws;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compliance with potential governmental, regulatory and other legal proceedings relative to advertising, promotion and marketing;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patents and proprietary rights related to our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government regulations, including the FDA’s quality system regulation and laser performance standards;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approval for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product liability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in trade policies;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tax laws;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federal, state and foreign laws, including changes to those laws;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environmental requirements.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Financing and transactional risks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divestitures of our businesses or product lines;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efforts to acquire additional companies or product lines;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raising additional capital;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provisions in our charter documents, Delaware law and contractual provisions that could delay or prevent an acquisition or sale of our company.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Governance risks and risks related to ownership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intention not to pay dividends for the foreseeable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publication of research about us by analysts;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concentration of ownership of our common stock;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maintain an effective system of internal control over financial reporting.</w:t>
      </w:r>
    </w:p>
    <w:p>
      <w:pPr>
        <w:pStyle w:val="TextBody"/>
        <w:bidi w:val="0"/>
        <w:spacing w:before="120" w:after="0"/>
        <w:jc w:val="left"/>
        <w:rPr>
          <w:rFonts w:ascii="Times New Roman;serif" w:hAnsi="Times New Roman;serif"/>
          <w:b/>
          <w:sz w:val="20"/>
        </w:rPr>
      </w:pPr>
      <w:r>
        <w:rPr>
          <w:rFonts w:ascii="Times New Roman;serif" w:hAnsi="Times New Roman;serif"/>
          <w:b/>
          <w:sz w:val="20"/>
        </w:rPr>
        <w:t>Factors That May Affect Future Results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Relating to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current macroeconomic conditions, including the effects of the COVID-19 pandemic and efforts to mitigate its impact have disrupted, and may continue to disrupt, our operations, including our ability to manufacture and supply products and perform research and development activities, and our customers’ usage of our products as demand declined in elective surgeries in response to the COVID-19 pandemic, all of which have had and may continue to have a material and adverse effect on our business, future revenues and financial condition. We are unable to predict the extent to which any future resurgence of the COVID-19 pandemic and related macroeconomic impacts may continue to adversely impact our business operations, financial performance, results of operations, financial position and the achievement of our strategic objectives.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any future resurgence of COVID-19 or in response to macroeconomic disruption related to any future resurgence of the COVID-19 pandemic. For example, during the fiscal year ended January 2, 2021, we experienced significant decline in treatment and procedure volume worldwide, as healthcare systems diverted resources to meet the increasing demands of managing COVID-19. In the near term COVID-19 pandemic may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 In April 2023, President Biden signed legislation that will end the COVID-19 national emergency on May 11, 2023. The full impact of this termination of the national emergency and the wind-down of the public health emergency on FDA and other regulatory policies and operations are unclear.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volatile macroeconomic environment, including the COVID-19 pandemic has created economic uncertainty and volatility in the financial markets around the world, resulting in an economic downturn that has affected and may likely continue to affect demand for our products and impact our results of operations. In addition, the failure of the U.S. federal government to manage its fiscal matters or to raise the debt ceiling, may result in a default on U.S. debt. Such a default may further negatively impact the economic environment, cause a drop in the stock market and our stock price, and curtail spending on health and health care related matters and adversely impact our results of operations as a result.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including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(including restrictions on travel and transport and workforce pressures); the impact of the COVID-19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including the impact of the COVID-19 pandemic, subside. Although the magnitude of the impact of the COVID-19 pandemic on our business operations remains a highly dynamic situation, we have experienced and may continue to experience in subsequent periods, disruptions to our business that may adversely impact our business, financial condition and results of operations.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 (the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face quality control and other production issues that could materially and adversely impact our sales and financial results and the acceptance of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manufacture of our infrared and visible laser consoles and related delivery devices is a highly complex and precise process. We may experience manufacturing difficulties, quality control issues or assembly constraints.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Some of our laser systems are complex in design and may contain defects that are not detected until deployed by our customers, which could increase our costs and reduce our revenues.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customers;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costs of product returns and warranty expenses;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damage to our brand reputation;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to attract new customers or achieve market acceptance;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development and engineering resources;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legal actions by our customers.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any one or more of the foregoing factors could seriously harm our business,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25 employees and two independent representatives, respectively, and our direct sales force in Germany consists of one employee. Our international independent distributors are managed by a team of eight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Growth in our sales and marketing organization may increase costs and create operational challenges without immediately offsetting benefits.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increased and continue to increase our internal sales and marketing functions. This growth may place a strain on our management, operating and financial systems and our sales, marketing, training and administrative resources. As a result,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depend on international sales for a significant portion of our operating results.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derive, and expect to continue to derive, a large portion of our revenues from international sales. For the first fiscal quarter of fiscal year 2023, our international sales were $6.9 million, or 50.6% of total revenues. We anticipate that international sales will continue to account for a significant portion of our revenues in the foreseeable future. All of our international revenues and costs for the first fiscal quarter of 2023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macroeconomic conditions, including the impact of any future resurgence of the COVID-19 pandemic on the global economy and financial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foreign currency exchange rates;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uncertainty in the global banking and financial services market;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and production issues;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performance of our international channel of distributors;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longer accounts receivable collection periods;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impact of recessions in global economies and availability of credit;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political and economic instability;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 in international regulatory agreements and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trade sanctions and embargoes;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impact of international conflicts, terrorist and military activity, civil unrest;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certification requirements, including continued ability to use the “CE” mark in Europe, and other local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differing local product preferences and product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cultural differences;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foreign medical reimbursement and coverage policies and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or limited protections of intellectual property rights in jurisdictions outside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potentially adverse tax consequences, such as those related to changes in tax laws or tax rates or their interpretations;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protectionist, adverse and changing foreign governmental laws and regulations;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compliance costs and risks of non-compliance with multiple regulatory regimes governing the production, marketing, sale and use of our products.</w:t>
      </w:r>
    </w:p>
    <w:p>
      <w:pPr>
        <w:pStyle w:val="TextBody"/>
        <w:bidi w:val="0"/>
        <w:spacing w:before="120" w:after="0"/>
        <w:jc w:val="left"/>
        <w:rPr>
          <w:rFonts w:ascii="Times New Roman" w:hAnsi="Times New Roman"/>
          <w:sz w:val="20"/>
        </w:rPr>
      </w:pPr>
      <w:r>
        <w:rPr>
          <w:rFonts w:ascii="Times New Roman;serif" w:hAnsi="Times New Roman;serif"/>
          <w:b w:val="false"/>
          <w:sz w:val="20"/>
        </w:rPr>
        <w:t>Any one or more of these factors stated above could have a material adverse effect on our business, financial condition or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develop and successfully introduce new products and applications or fail to improve our existing products, our business prospects and operating results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was delayed due to the impact of the COVID-19 pandemic, and should the current macroeconomic conditions worsen, it could delay and disrupt our research and development processes even further.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are exposed to risks associated with worldwide economic slowdowns and related uncertainties.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uncertainty in the global banking and financial services market, international conflicts, terrorist and military activity, civil unrest and pandemic-related illness could reduce customer orders or cause customer order cancellations. For example, any future resurgence of the COVID-19 pandemic may cause adverse impacts on global economic activity which could negatively impact our business. In addition, political and social turmoil related to international conflicts, such as that occurring in Russia and Ukraine, and terrorist acts may put further pressure on economic conditions in the United States and abroad.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Further, there is ongoing uncertainty regarding the federal budget and federal spending levels, including the possible impacts of a failure to increase the “debt ceiling.” Any U.S. government default on its debt could have broad macroeconomic effects including a drop in the stock market and our stock price.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economic uncertainty persisted, or if the economy entered a prolonged period of decelerating growth, our results of operations may be harmed.</w:t>
      </w:r>
    </w:p>
    <w:p>
      <w:pPr>
        <w:pStyle w:val="TextBody"/>
        <w:bidi w:val="0"/>
        <w:spacing w:before="120" w:after="0"/>
        <w:jc w:val="left"/>
        <w:rPr>
          <w:rFonts w:ascii="Times New Roman" w:hAnsi="Times New Roman"/>
          <w:sz w:val="20"/>
        </w:rPr>
      </w:pPr>
      <w:r>
        <w:rPr>
          <w:rFonts w:ascii="Times New Roman;serif" w:hAnsi="Times New Roman;serif"/>
          <w:b/>
          <w:i/>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20" w:after="0"/>
        <w:jc w:val="left"/>
        <w:rPr>
          <w:rFonts w:ascii="Times New Roman" w:hAnsi="Times New Roman"/>
          <w:sz w:val="20"/>
        </w:rPr>
      </w:pPr>
      <w:r>
        <w:rPr>
          <w:rFonts w:ascii="Times New Roman;serif" w:hAnsi="Times New Roman;serif"/>
          <w:b/>
          <w:i/>
          <w:sz w:val="20"/>
        </w:rPr>
        <w:t>Our operating results may fluctuate from quarter to quarter and year to year.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macroeconomic conditions, including inflationary pressures and rising interest rates, uncertainty in the global banking and financial services market, potential federal debt default, any future resurgence of the COVID-19 pandemic and responsive measures and the war between Russia and Ukraine;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prices at which we can sell our products, including the impact of changes in exchange rates;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delays or reductions in product shipments, or product recalls, resulting from manufacturing, distribution or other operational issues;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the introduction and market acceptance of new products, product enhancements and new applications;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demand for our existing line of ophthalmology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sales volumes at a level sufficient to cover fixed manufacturing and operating costs;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our product mix within ophthalmology products and foreign and domestic sales;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effect of regulatory approvals and changes in domestic and foreign regulatory requirements;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long and highly variable sales cycle;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variances in shipment volumes as a result of product, supply chain due to global constraints or other factors and training issues;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increased product innovation costs.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0"/>
        <w:jc w:val="left"/>
        <w:rPr>
          <w:rFonts w:ascii="Times New Roman" w:hAnsi="Times New Roman"/>
          <w:sz w:val="20"/>
        </w:rPr>
      </w:pPr>
      <w:r>
        <w:rPr>
          <w:rFonts w:ascii="Times New Roman;serif" w:hAnsi="Times New Roman;serif"/>
          <w:b/>
          <w:i/>
          <w:sz w:val="20"/>
        </w:rPr>
        <w:t>We rely on continued market acceptance of our existing products and any decline in sales of our existing products would adversely affect our business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any future resurgence of the COVID-19 pandemic on timing of ophthalmic treatment procedures;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recommendations and opinions by ophthalmologists, other clinicians, and their associated opinion leaders;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marketing and clinical study outcomes;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competing products, technologies and alternative treatments;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of reimbursement for treatments administered with our products.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We face strong competition in our markets and expect the level of competition to grow in the foreseeable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principal ophthalmic laser competitors are Alcon Inc., Novartis AG, Bausch Health Companies Inc., Carl Zeiss Meditec AG, Lumenis Ltd., Nidek Co. Ltd., Lumibird, and Norlase.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Divestitures of our businesses or product lines may materially and adversely affect our financial condition, results of operations or cash flows and require us to raise additional capital to replace revenue from those business units or product lines.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bidi w:val="0"/>
        <w:spacing w:before="120" w:after="0"/>
        <w:jc w:val="left"/>
        <w:rPr>
          <w:rFonts w:ascii="Times New Roman" w:hAnsi="Times New Roman"/>
          <w:sz w:val="20"/>
        </w:rPr>
      </w:pPr>
      <w:r>
        <w:rPr>
          <w:rFonts w:ascii="Times New Roman;serif" w:hAnsi="Times New Roman;serif"/>
          <w:b/>
          <w:i/>
          <w:sz w:val="20"/>
        </w:rPr>
        <w:t>Our operating results may be adversely affected by uncertainty regarding healthcare reform measures and changes in third-party coverage and reimbursement policies.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Times New Roman;serif" w:hAnsi="Times New Roman;serif"/>
          <w:b w:val="false"/>
          <w:i/>
          <w:sz w:val="20"/>
        </w:rPr>
        <w:t xml:space="preserve">California v. Texas </w:t>
      </w:r>
      <w:r>
        <w:rPr>
          <w:rFonts w:ascii="Times New Roman;serif" w:hAnsi="Times New Roman;serif"/>
          <w:b w:val="false"/>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healthcare laws, we could face substantial penalties and financial exposure, and our business, operations and financial condition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depend on collaborative relationships to develop, introduce and market new products, product enhancements and new applications.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sz w:val="20"/>
        </w:rPr>
        <w:t xml:space="preserve"> </w:t>
      </w:r>
      <w:r>
        <w:rPr>
          <w:rFonts w:ascii="Times New Roman;serif" w:hAnsi="Times New Roman;serif"/>
          <w:b/>
          <w:i/>
          <w:sz w:val="20"/>
        </w:rPr>
        <w:t>significant negative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on patents and proprietary rights to protect our intellectual property and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April 1, 2023, our patent portfolio includes 63 active United States patents and 83 active international patents on the technologies related to our products and processes. In addition, as of April 1, 2023, we have 11 patent applications pending in the United States and 22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lose key personnel or fail to integrate replacement personnel successfully, our ability to manage our business could be impaired.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depend on sole source or limited source suppliers.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macroeconomic conditions, including any future resurgence of the COVID-19 pandemic and inflationary pressures on global supply chains and market stability;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delivery or failure of suppliers to deliver critical components and products on the dates we require;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of suppliers to manufacture and assemble components and products to our specifications, and potentially reduced quality;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inability to obtain components and products in a timely manner or at acceptable prices due to global supply chain constraints or other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our facilities were to experience catastrophic loss, our operations would be seriously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experience a significant disruption in our information technology systems or breaches of data security, our business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due to the COVID-19 pandemic or due to political uncertainty and military actions associated with the significant military action against Ukraine launched by Russia.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subject to government regulations which may cause us to delay or withdraw the introduction of new products or new applications for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the FDA’s quality system regulation and laser performance standards, our manufacturing operations could be halted, and our business would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integrating any acquired products into our existing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in integrating an acquired company’s technologies, services, employees, customers, partners, business operations and administrative and software management systems with ours;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realizing the benefits of the acquired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diversion of our management’s time and attention from other business concerns;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customer reaction to the product acquisition;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increases in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products may be misused, which could harm our reputation and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Inability of customers to obtain credit or material increases in interest rates may harm our sales.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products could be subject to recalls even after receiving FDA approval or clearance. A recall would harm our reputation and adversely affect our operating results.</w:t>
      </w:r>
    </w:p>
    <w:p>
      <w:pPr>
        <w:pStyle w:val="TextBody"/>
        <w:bidi w:val="0"/>
        <w:spacing w:before="120" w:after="0"/>
        <w:jc w:val="left"/>
        <w:rPr>
          <w:rFonts w:ascii="Times New Roman" w:hAnsi="Times New Roman"/>
          <w:sz w:val="20"/>
        </w:rPr>
      </w:pPr>
      <w:r>
        <w:rPr>
          <w:rFonts w:ascii="Times New Roman;serif" w:hAnsi="Times New Roman;serif"/>
          <w:b w:val="false"/>
          <w:sz w:val="20"/>
        </w:rPr>
        <w:t>The FDA and similar governmental authorities in other countries in which we market and sell our products have the authority to require the recall of our products in the event of material deficiencies or defects in the design or manufacture of our products, or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other cases we may determine that we will recall a product because we have determined that the product is violative, in order to avoid further enforcement action and protect the public health.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0"/>
        <w:jc w:val="left"/>
        <w:rPr>
          <w:rFonts w:ascii="Times New Roman" w:hAnsi="Times New Roman"/>
          <w:sz w:val="20"/>
        </w:rPr>
      </w:pPr>
      <w:r>
        <w:rPr>
          <w:rFonts w:ascii="Times New Roman;serif" w:hAnsi="Times New Roman;serif"/>
          <w:b w:val="false"/>
          <w:sz w:val="20"/>
        </w:rPr>
        <w:t>For example, on February 23, 2018, we initiated a worldwide voluntary recall of a specific laser accessory called the TruFocus LIO Premiere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a follow up request for termination on September 29, 2021. Our termination request is pending.</w:t>
      </w:r>
    </w:p>
    <w:p>
      <w:pPr>
        <w:pStyle w:val="TextBody"/>
        <w:bidi w:val="0"/>
        <w:spacing w:before="120" w:after="0"/>
        <w:jc w:val="left"/>
        <w:rPr>
          <w:rFonts w:ascii="Times New Roman" w:hAnsi="Times New Roman"/>
          <w:sz w:val="20"/>
        </w:rPr>
      </w:pPr>
      <w:r>
        <w:rPr>
          <w:rFonts w:ascii="Times New Roman;serif" w:hAnsi="Times New Roman;serif"/>
          <w:b w:val="false"/>
          <w:sz w:val="20"/>
        </w:rPr>
        <w:t>We obtained FDA clearance for an updated TruFocus LIO Premiere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product liability claims are successfully asserted against us, we may incur substantial liabilities that may adversely affect our business or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manage growth effectively, our business could be disrupted which could harm our operating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Significant developments resulting from recent and potential changes in U.S. trade policies could have a material adverse effect on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U.S. tax laws could have a material adverse effect on our business, consolidated cash flow, results of operations or financial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ability to raise capital in the future may be limited, and future sales and issuances of securities could negatively affect our stock price and dilute the ownership interest of our existing investors.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pStyle w:val="TextBody"/>
        <w:bidi w:val="0"/>
        <w:spacing w:before="120" w:after="0"/>
        <w:jc w:val="left"/>
        <w:rPr>
          <w:rFonts w:ascii="Times New Roman" w:hAnsi="Times New Roman"/>
          <w:sz w:val="20"/>
        </w:rPr>
      </w:pPr>
      <w:r>
        <w:rPr>
          <w:rFonts w:ascii="Times New Roman;serif" w:hAnsi="Times New Roman;serif"/>
          <w:b w:val="false"/>
          <w:sz w:val="20"/>
        </w:rPr>
        <w:t>We may sell shares or other securities in any offering at a price per share that is less than the price per share paid by existing investors, and investors purchasing shares or other securities in the future could have rights superior to existing stockholders.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per share at which we sell additional shares of our common stock, or securities convertible or exchangeable into common stock, in future transactions may be higher or lower than the price per share paid by existing investors.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environmental requirements, our business, financial condition, operating results and reputation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Relating to Ownership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stock price has been and may continue to be volatile and an investment in our common stock could suffer a decline in value.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 and Ukraine. During the first quarter of fiscal year 2023, the trading price of our common stock fluctuated from a low of $2.00 per share to a high of $2.46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Because we do not intend to pay dividends, stockholders will benefit from an investment in our common stock only if it appreciates in value.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securities or industry analysts do not continue to publish research or publish incorrect or unfavorable research about our business, our stock price and trading volume could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charter documents, anti-takeover provisions of Delaware law, and contractual provisions could delay or prevent an acquisition or sale of our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authorized number of directors may be changed only by resolution of our board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only our board of directors is authorized to fill vacant directorships, including newly created seats;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stockholders must give advance notice to nominate directors or propose other business;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stockholders are not permitted to cumulate votes in the election of directors.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Sales of Unregistered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8" w:name="item_3_defaults_upon_senior_securities"/>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38"/>
        <w:gridCol w:w="146"/>
        <w:gridCol w:w="9221"/>
      </w:tblGrid>
      <w:tr>
        <w:trPr/>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1" w:type="dxa"/>
            <w:tcBorders/>
            <w:vAlign w:val="center"/>
          </w:tcPr>
          <w:p>
            <w:pPr>
              <w:pStyle w:val="TableContents"/>
              <w:bidi w:val="0"/>
              <w:spacing w:before="0" w:after="283"/>
              <w:jc w:val="left"/>
              <w:rPr>
                <w:sz w:val="4"/>
                <w:szCs w:val="4"/>
              </w:rPr>
            </w:pPr>
            <w:r>
              <w:rPr>
                <w:sz w:val="4"/>
                <w:szCs w:val="4"/>
              </w:rPr>
            </w:r>
          </w:p>
        </w:tc>
      </w:tr>
      <w:tr>
        <w:trPr/>
        <w:tc>
          <w:tcPr>
            <w:tcW w:w="838"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Title</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w:anchor="irix-ex31_1.htm">
              <w:r>
                <w:rPr>
                  <w:rStyle w:val="InternetLink"/>
                  <w:rFonts w:ascii="Times New Roman;serif" w:hAnsi="Times New Roman;serif"/>
                  <w:b w:val="false"/>
                  <w:sz w:val="20"/>
                  <w:u w:val="single"/>
                </w:rPr>
                <w:t>Certification of Principal Executive Officer pursuant to Securities Exchange Act Rules 13a-14(a) and 15d-14(a).</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w:anchor="irix-ex31_2.htm">
              <w:r>
                <w:rPr>
                  <w:rStyle w:val="InternetLink"/>
                  <w:rFonts w:ascii="Times New Roman;serif" w:hAnsi="Times New Roman;serif"/>
                  <w:b w:val="false"/>
                  <w:sz w:val="20"/>
                  <w:u w:val="single"/>
                </w:rPr>
                <w:t>Certification of Principal Financial Officer pursuant to Securities Exchange Act Rules 13a-14(a) and 15d-14(a).</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w:anchor="iri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21" w:type="dxa"/>
            <w:tcBorders/>
            <w:vAlign w:val="center"/>
          </w:tcPr>
          <w:p>
            <w:pPr>
              <w:pStyle w:val="TableContents"/>
              <w:bidi w:val="0"/>
              <w:spacing w:before="0" w:after="0"/>
              <w:ind w:left="0" w:right="0" w:hanging="0"/>
              <w:jc w:val="left"/>
              <w:rPr/>
            </w:pPr>
            <w:hyperlink w:anchor="iri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101.INS</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101.SCH</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101.LAB</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101.PRE</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104</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120" w:after="0"/>
        <w:jc w:val="left"/>
        <w:rPr>
          <w:rFonts w:ascii="Times New Roman;serif" w:hAnsi="Times New Roman;serif"/>
          <w:b/>
          <w:sz w:val="20"/>
        </w:rPr>
      </w:pPr>
      <w:r>
        <w:rPr>
          <w:rFonts w:ascii="Times New Roman;serif" w:hAnsi="Times New Roman;serif"/>
          <w:b/>
          <w:sz w:val="20"/>
        </w:rPr>
        <w:t>Trademark Acknowledgments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390" w:type="dxa"/>
        <w:jc w:val="left"/>
        <w:tblInd w:w="0" w:type="dxa"/>
        <w:tblLayout w:type="fixed"/>
        <w:tblCellMar>
          <w:top w:w="28" w:type="dxa"/>
          <w:left w:w="28" w:type="dxa"/>
          <w:bottom w:w="28" w:type="dxa"/>
          <w:right w:w="28" w:type="dxa"/>
        </w:tblCellMar>
      </w:tblPr>
      <w:tblGrid>
        <w:gridCol w:w="1741"/>
        <w:gridCol w:w="146"/>
        <w:gridCol w:w="406"/>
        <w:gridCol w:w="146"/>
        <w:gridCol w:w="631"/>
        <w:gridCol w:w="109"/>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951"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IRIDEX Corporation</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1" w:type="dxa"/>
            <w:gridSpan w:val="3"/>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95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I. BRUCE</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I. Bruce</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tbl>
      <w:tblPr>
        <w:tblW w:w="5746" w:type="dxa"/>
        <w:jc w:val="left"/>
        <w:tblInd w:w="0" w:type="dxa"/>
        <w:tblLayout w:type="fixed"/>
        <w:tblCellMar>
          <w:top w:w="28" w:type="dxa"/>
          <w:left w:w="28" w:type="dxa"/>
          <w:bottom w:w="28" w:type="dxa"/>
          <w:right w:w="28" w:type="dxa"/>
        </w:tblCellMar>
      </w:tblPr>
      <w:tblGrid>
        <w:gridCol w:w="1741"/>
        <w:gridCol w:w="109"/>
        <w:gridCol w:w="406"/>
        <w:gridCol w:w="109"/>
        <w:gridCol w:w="631"/>
        <w:gridCol w:w="109"/>
        <w:gridCol w:w="26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8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FUAD AHMAD</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Fuad Ahmad</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irix-ex31_1.htm"/>
      <w:bookmarkStart w:id="24" w:name="ksirixex31_1"/>
      <w:bookmarkEnd w:id="23"/>
      <w:bookmarkEnd w:id="24"/>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13(a) or 15(d)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David I. Bruce,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IRIDEX Corporation;</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May 11, 2023</w:t>
      </w:r>
    </w:p>
    <w:p>
      <w:pPr>
        <w:pStyle w:val="TextBody"/>
        <w:bidi w:val="0"/>
        <w:spacing w:before="0" w:after="0"/>
        <w:jc w:val="left"/>
        <w:rPr/>
      </w:pPr>
      <w:r>
        <w:rPr/>
        <w:t> </w:t>
      </w:r>
    </w:p>
    <w:tbl>
      <w:tblPr>
        <w:tblW w:w="3857" w:type="dxa"/>
        <w:jc w:val="left"/>
        <w:tblInd w:w="0" w:type="dxa"/>
        <w:tblLayout w:type="fixed"/>
        <w:tblCellMar>
          <w:top w:w="28" w:type="dxa"/>
          <w:left w:w="28" w:type="dxa"/>
          <w:bottom w:w="28" w:type="dxa"/>
          <w:right w:w="28" w:type="dxa"/>
        </w:tblCellMar>
      </w:tblPr>
      <w:tblGrid>
        <w:gridCol w:w="6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I. BRUCE</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I. Bruce</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right"/>
        <w:rPr/>
      </w:pPr>
      <w:bookmarkStart w:id="25" w:name="doc_1_3"/>
      <w:bookmarkEnd w:id="25"/>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6" w:name="irix-ex31_2.htm"/>
      <w:bookmarkStart w:id="27" w:name="ksirixex31_2"/>
      <w:bookmarkEnd w:id="26"/>
      <w:bookmarkEnd w:id="27"/>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13(a) or 15(d)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Fuad Ahmad,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IRIDEX Corporation;</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May 11, 2023</w:t>
      </w:r>
    </w:p>
    <w:p>
      <w:pPr>
        <w:pStyle w:val="TextBody"/>
        <w:bidi w:val="0"/>
        <w:spacing w:before="0" w:after="0"/>
        <w:jc w:val="left"/>
        <w:rPr/>
      </w:pPr>
      <w:r>
        <w:rPr/>
        <w:t> </w:t>
      </w:r>
    </w:p>
    <w:tbl>
      <w:tblPr>
        <w:tblW w:w="3287" w:type="dxa"/>
        <w:jc w:val="left"/>
        <w:tblInd w:w="0" w:type="dxa"/>
        <w:tblLayout w:type="fixed"/>
        <w:tblCellMar>
          <w:top w:w="28" w:type="dxa"/>
          <w:left w:w="28" w:type="dxa"/>
          <w:bottom w:w="28" w:type="dxa"/>
          <w:right w:w="28" w:type="dxa"/>
        </w:tblCellMar>
      </w:tblPr>
      <w:tblGrid>
        <w:gridCol w:w="64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64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FUAD AHMAD</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Fuad Ahmad</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Chief Financial Officer</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right"/>
        <w:rPr/>
      </w:pPr>
      <w:bookmarkStart w:id="28" w:name="doc_1_7"/>
      <w:bookmarkStart w:id="29" w:name="doc_1_4"/>
      <w:bookmarkStart w:id="30" w:name="gmnh1doc_1_4"/>
      <w:bookmarkEnd w:id="28"/>
      <w:bookmarkEnd w:id="29"/>
      <w:bookmarkEnd w:id="30"/>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irix-ex32_1.htm"/>
      <w:bookmarkStart w:id="32" w:name="ksirixex32_1"/>
      <w:bookmarkEnd w:id="31"/>
      <w:bookmarkEnd w:id="3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 w:hAnsi="Times New Roman"/>
          <w:sz w:val="20"/>
        </w:rPr>
      </w:pPr>
      <w:r>
        <w:rPr>
          <w:rFonts w:ascii="Times New Roman;serif" w:hAnsi="Times New Roman;serif"/>
          <w:b/>
          <w:sz w:val="20"/>
        </w:rPr>
        <w:t>CERTIFICATION OF PRINCIPAL EXECUTIVE OFFICER</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David I. Bruce, pursuant to 18 U.S.C. Section 1350, as adopted pursuant to Section 906 of the Sarbanes-Oxley Act of 2002, certify that the Quarterly Report of IRIDEX Corporation on Form 10-Q for the fiscal quarter ended April 1, 2023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May 11, 2023</w:t>
      </w:r>
    </w:p>
    <w:p>
      <w:pPr>
        <w:pStyle w:val="TextBody"/>
        <w:bidi w:val="0"/>
        <w:spacing w:before="0" w:after="0"/>
        <w:jc w:val="left"/>
        <w:rPr/>
      </w:pPr>
      <w:r>
        <w:rPr/>
        <w:t> </w:t>
      </w:r>
    </w:p>
    <w:tbl>
      <w:tblPr>
        <w:tblW w:w="4003" w:type="dxa"/>
        <w:jc w:val="left"/>
        <w:tblInd w:w="0" w:type="dxa"/>
        <w:tblLayout w:type="fixed"/>
        <w:tblCellMar>
          <w:top w:w="28" w:type="dxa"/>
          <w:left w:w="28" w:type="dxa"/>
          <w:bottom w:w="28" w:type="dxa"/>
          <w:right w:w="28" w:type="dxa"/>
        </w:tblCellMar>
      </w:tblPr>
      <w:tblGrid>
        <w:gridCol w:w="161"/>
        <w:gridCol w:w="63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I. BRUCE</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I. Bruce</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bookmarkStart w:id="33" w:name="doc_1_8"/>
      <w:bookmarkStart w:id="34" w:name="doc_1_5"/>
      <w:bookmarkEnd w:id="33"/>
      <w:bookmarkEnd w:id="34"/>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5" w:name="irix-ex32_2.htm"/>
      <w:bookmarkStart w:id="36" w:name="ksirixex32_2"/>
      <w:bookmarkEnd w:id="35"/>
      <w:bookmarkEnd w:id="3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 w:hAnsi="Times New Roman"/>
          <w:sz w:val="20"/>
        </w:rPr>
      </w:pPr>
      <w:r>
        <w:rPr>
          <w:rFonts w:ascii="Times New Roman;serif" w:hAnsi="Times New Roman;serif"/>
          <w:b/>
          <w:sz w:val="20"/>
        </w:rPr>
        <w:t>CERTIFICATION OF PRINCIPAL FINANCIAL OFFICER</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Fuad Ahmad, pursuant to 18 U.S.C. Section 1350, as adopted pursuant to Section 906 of the Sarbanes-Oxley Act of 2002, certify that the Quarterly Report of IRIDEX Corporation on Form 10-Q for the fiscal quarter ended April 1, 2023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May 11, 2023</w:t>
      </w:r>
    </w:p>
    <w:p>
      <w:pPr>
        <w:pStyle w:val="TextBody"/>
        <w:bidi w:val="0"/>
        <w:spacing w:before="0" w:after="0"/>
        <w:jc w:val="left"/>
        <w:rPr/>
      </w:pPr>
      <w:r>
        <w:rPr/>
        <w:t> </w:t>
      </w:r>
    </w:p>
    <w:tbl>
      <w:tblPr>
        <w:tblW w:w="3433" w:type="dxa"/>
        <w:jc w:val="left"/>
        <w:tblInd w:w="0" w:type="dxa"/>
        <w:tblLayout w:type="fixed"/>
        <w:tblCellMar>
          <w:top w:w="28" w:type="dxa"/>
          <w:left w:w="28" w:type="dxa"/>
          <w:bottom w:w="28" w:type="dxa"/>
          <w:right w:w="28" w:type="dxa"/>
        </w:tblCellMar>
      </w:tblPr>
      <w:tblGrid>
        <w:gridCol w:w="161"/>
        <w:gridCol w:w="631"/>
        <w:gridCol w:w="264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6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FUAD AHMAD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Fuad Ahmad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bookmarkStart w:id="37" w:name="doc_1_51"/>
      <w:bookmarkStart w:id="38" w:name="doc_1_81"/>
      <w:bookmarkEnd w:id="37"/>
      <w:bookmarkEnd w:id="38"/>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30390</Words>
  <Characters>169396</Characters>
  <CharactersWithSpaces>199820</CharactersWithSpaces>
  <Paragraphs>3840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