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77-0210467</w:t>
            </w:r>
          </w:p>
        </w:tc>
      </w:tr>
      <w:tr>
        <w:trPr>
          <w:trHeight w:val="148"/>
        </w:trPr>
        <w:tc>
          <w:tcPr>
            <w:tcW w:w="42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1212 Terra Bella Avenue</w:t>
            </w:r>
          </w:p>
        </w:tc>
        <w:tc>
          <w:tcPr>
            <w:tcW w:w="3340" w:type="dxa"/>
            <w:vAlign w:val="bottom"/>
          </w:tcPr>
          <w:p>
            <w:pPr>
              <w:spacing w:after="0"/>
              <w:rPr>
                <w:sz w:val="24"/>
                <w:szCs w:val="24"/>
                <w:color w:val="auto"/>
              </w:rPr>
            </w:pPr>
          </w:p>
        </w:tc>
      </w:tr>
      <w:tr>
        <w:trPr>
          <w:trHeight w:val="212"/>
        </w:trPr>
        <w:tc>
          <w:tcPr>
            <w:tcW w:w="42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4"/>
              </w:rPr>
              <w:t>Mountain View, California</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94043-1824</w:t>
            </w:r>
          </w:p>
        </w:tc>
      </w:tr>
      <w:tr>
        <w:trPr>
          <w:trHeight w:val="186"/>
        </w:trPr>
        <w:tc>
          <w:tcPr>
            <w:tcW w:w="42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0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Title of Class</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w w:val="93"/>
              </w:rPr>
              <w:t>Trading Symbol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IRIX</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58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November 4, 2021 was 15,865,734.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8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as of October 2, 2021 and January 2, 2021</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Operations for the three and nine months ended October 2, 2021 and September</w:t>
              </w:r>
            </w:hyperlink>
          </w:p>
        </w:tc>
        <w:tc>
          <w:tcPr>
            <w:tcW w:w="7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26, 2020</w:t>
              </w:r>
            </w:hyperlink>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1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Comprehensive Income (Loss) for the three and nine months ended October 2,</w:t>
              </w:r>
            </w:hyperlink>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2021 and September 26, 2020</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Stockholder's Equity for the three and nine months ended October 2, 2021 and</w:t>
              </w:r>
            </w:hyperlink>
          </w:p>
        </w:tc>
        <w:tc>
          <w:tcPr>
            <w:tcW w:w="1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September 26, 2020</w:t>
              </w:r>
            </w:hyperlink>
          </w:p>
        </w:tc>
        <w:tc>
          <w:tcPr>
            <w:tcW w:w="798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1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Unaudited Condensed Consolidated Statements of Cash Flows for the nine months ended October 2, 2021 and September 26,</w:t>
              </w:r>
            </w:hyperlink>
          </w:p>
        </w:tc>
        <w:tc>
          <w:tcPr>
            <w:tcW w:w="40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2020</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4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Condensed Consolidated Financial Statements</w:t>
              </w:r>
            </w:hyperlink>
          </w:p>
        </w:tc>
        <w:tc>
          <w:tcPr>
            <w:tcW w:w="46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98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Controls and Procedures</w:t>
              </w:r>
            </w:hyperlink>
          </w:p>
        </w:tc>
        <w:tc>
          <w:tcPr>
            <w:tcW w:w="760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5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 OTHER INFORMATION</w:t>
              </w:r>
            </w:hyperlink>
          </w:p>
        </w:tc>
        <w:tc>
          <w:tcPr>
            <w:tcW w:w="790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 w:type="dxa"/>
            <w:vAlign w:val="bottom"/>
          </w:tcPr>
          <w:p>
            <w:pPr>
              <w:spacing w:after="0"/>
              <w:rPr>
                <w:sz w:val="24"/>
                <w:szCs w:val="24"/>
                <w:color w:val="auto"/>
              </w:rPr>
            </w:pP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Unregistered Sales of Equity Securities and Use of Proceeds</w:t>
              </w:r>
            </w:hyperlink>
          </w:p>
        </w:tc>
        <w:tc>
          <w:tcPr>
            <w:tcW w:w="508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Defaults Upon Senior Securities</w:t>
              </w:r>
            </w:hyperlink>
          </w:p>
        </w:tc>
        <w:tc>
          <w:tcPr>
            <w:tcW w:w="710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18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Mine Safety Disclosures</w:t>
              </w:r>
            </w:hyperlink>
          </w:p>
        </w:tc>
        <w:tc>
          <w:tcPr>
            <w:tcW w:w="760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 w:type="dxa"/>
            <w:vAlign w:val="bottom"/>
          </w:tcPr>
          <w:p>
            <w:pPr>
              <w:spacing w:after="0"/>
              <w:rPr>
                <w:sz w:val="24"/>
                <w:szCs w:val="24"/>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8120" w:type="dxa"/>
            <w:vAlign w:val="bottom"/>
            <w:gridSpan w:val="1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940" w:type="dxa"/>
            <w:vAlign w:val="bottom"/>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9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00" w:lineRule="exact"/>
        <w:rPr>
          <w:sz w:val="20"/>
          <w:szCs w:val="20"/>
          <w:color w:val="auto"/>
        </w:rPr>
      </w:pPr>
    </w:p>
    <w:p>
      <w:pPr>
        <w:jc w:val="both"/>
        <w:ind w:left="1000" w:right="1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strategic partnership with Topcon;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3" w:name="page4"/>
    <w:bookmarkEnd w:id="3"/>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source suppliers;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13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3"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October 2,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January 2, 2021 (1)</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25,568</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$233 as of October 2, 2021 and $244 as of January 2, 2021</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50,542</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3,208</w:t>
            </w:r>
          </w:p>
        </w:tc>
        <w:tc>
          <w:tcPr>
            <w:tcW w:w="28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PPP loan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PPP loan</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Preferred stock, $0.01 par value, 2,000,000 shares authorized, no shares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1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Authorized: 30,000,000 shares;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and outstanding 15,862,523 and 13,899,683 shares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 of October 2, 2021 and January 2, 2021, respectively</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84,851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(59,726)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(56,944)</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46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January 2, 2021.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Borders>
              <w:top w:val="single" w:sz="8" w:color="auto"/>
            </w:tcBorders>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5"/>
              </w:rPr>
              <w:t>October 2, 2021</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w w:val="89"/>
              </w:rPr>
              <w:t>September 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top w:val="single" w:sz="8" w:color="auto"/>
            </w:tcBorders>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October 2, 2021</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89"/>
              </w:rPr>
              <w:t>September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(0.12)</w:t>
            </w:r>
          </w:p>
        </w:tc>
        <w:tc>
          <w:tcPr>
            <w:tcW w:w="420" w:type="dxa"/>
            <w:vAlign w:val="bottom"/>
            <w:gridSpan w:val="2"/>
            <w:shd w:val="clear" w:color="auto" w:fill="CFF0FC"/>
          </w:tcPr>
          <w:p>
            <w:pPr>
              <w:jc w:val="right"/>
              <w:ind w:right="15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computing net loss</w:t>
            </w: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common share:</w:t>
            </w: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15,824</w:t>
            </w:r>
          </w:p>
        </w:tc>
        <w:tc>
          <w:tcPr>
            <w:tcW w:w="2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13,893</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0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132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October 2, 2021</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
              <w:spacing w:after="0" w:line="133" w:lineRule="exact"/>
              <w:rPr>
                <w:sz w:val="20"/>
                <w:szCs w:val="20"/>
                <w:color w:val="auto"/>
              </w:rPr>
            </w:pPr>
            <w:r>
              <w:rPr>
                <w:rFonts w:ascii="Arial" w:cs="Arial" w:eastAsia="Arial" w:hAnsi="Arial"/>
                <w:sz w:val="14"/>
                <w:szCs w:val="14"/>
                <w:b w:val="1"/>
                <w:bCs w:val="1"/>
                <w:color w:val="auto"/>
                <w:w w:val="89"/>
              </w:rPr>
              <w:t>September 26,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October 2, 2021</w:t>
            </w: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7"/>
              <w:spacing w:after="0" w:line="133" w:lineRule="exact"/>
              <w:rPr>
                <w:sz w:val="20"/>
                <w:szCs w:val="20"/>
                <w:color w:val="auto"/>
              </w:rPr>
            </w:pPr>
            <w:r>
              <w:rPr>
                <w:rFonts w:ascii="Arial" w:cs="Arial" w:eastAsia="Arial" w:hAnsi="Arial"/>
                <w:sz w:val="14"/>
                <w:szCs w:val="14"/>
                <w:b w:val="1"/>
                <w:bCs w:val="1"/>
                <w:color w:val="auto"/>
                <w:w w:val="89"/>
              </w:rPr>
              <w:t>September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For the three months ended October 2, 2021</w:t>
            </w:r>
          </w:p>
        </w:tc>
        <w:tc>
          <w:tcPr>
            <w:tcW w:w="206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July 3,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15,783,704</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84,265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(57,561)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Issuance of common stock under stock</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20"/>
              <w:spacing w:after="0"/>
              <w:rPr>
                <w:sz w:val="20"/>
                <w:szCs w:val="20"/>
                <w:color w:val="auto"/>
              </w:rPr>
            </w:pPr>
            <w:r>
              <w:rPr>
                <w:rFonts w:ascii="Arial" w:cs="Arial" w:eastAsia="Arial" w:hAnsi="Arial"/>
                <w:sz w:val="16"/>
                <w:szCs w:val="16"/>
                <w:color w:val="auto"/>
              </w:rPr>
              <w:t>option plan</w:t>
            </w:r>
          </w:p>
        </w:tc>
        <w:tc>
          <w:tcPr>
            <w:tcW w:w="1060" w:type="dxa"/>
            <w:vAlign w:val="bottom"/>
          </w:tcPr>
          <w:p>
            <w:pPr>
              <w:jc w:val="right"/>
              <w:spacing w:after="0"/>
              <w:rPr>
                <w:sz w:val="20"/>
                <w:szCs w:val="20"/>
                <w:color w:val="auto"/>
              </w:rPr>
            </w:pPr>
            <w:r>
              <w:rPr>
                <w:rFonts w:ascii="Arial" w:cs="Arial" w:eastAsia="Arial" w:hAnsi="Arial"/>
                <w:sz w:val="16"/>
                <w:szCs w:val="16"/>
                <w:color w:val="auto"/>
              </w:rPr>
              <w:t>29,916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tcPr>
          <w:p>
            <w:pPr>
              <w:jc w:val="right"/>
              <w:spacing w:after="0"/>
              <w:rPr>
                <w:sz w:val="20"/>
                <w:szCs w:val="20"/>
                <w:color w:val="auto"/>
              </w:rPr>
            </w:pPr>
            <w:r>
              <w:rPr>
                <w:rFonts w:ascii="Arial" w:cs="Arial" w:eastAsia="Arial" w:hAnsi="Arial"/>
                <w:sz w:val="16"/>
                <w:szCs w:val="16"/>
                <w:color w:val="auto"/>
              </w:rPr>
              <w:t>48,903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(loss)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Net loss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(2,165)</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(2,165)</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 October 2, 2021</w:t>
            </w: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15,862,523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84,851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(59,726)</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For the nine months ended October 2, 2021</w:t>
            </w:r>
          </w:p>
        </w:tc>
        <w:tc>
          <w:tcPr>
            <w:tcW w:w="206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January 2,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13,899,683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(56,944)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20"/>
                <w:szCs w:val="20"/>
                <w:color w:val="auto"/>
              </w:rPr>
            </w:pPr>
            <w:r>
              <w:rPr>
                <w:rFonts w:ascii="Arial" w:cs="Arial" w:eastAsia="Arial" w:hAnsi="Arial"/>
                <w:sz w:val="16"/>
                <w:szCs w:val="16"/>
                <w:color w:val="auto"/>
              </w:rPr>
              <w:t>Issuance of common stock, net of issuance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Pr>
          <w:p>
            <w:pPr>
              <w:ind w:left="120"/>
              <w:spacing w:after="0"/>
              <w:rPr>
                <w:sz w:val="20"/>
                <w:szCs w:val="20"/>
                <w:color w:val="auto"/>
              </w:rPr>
            </w:pPr>
            <w:r>
              <w:rPr>
                <w:rFonts w:ascii="Arial" w:cs="Arial" w:eastAsia="Arial" w:hAnsi="Arial"/>
                <w:sz w:val="16"/>
                <w:szCs w:val="16"/>
                <w:color w:val="auto"/>
              </w:rPr>
              <w:t>costs</w:t>
            </w:r>
          </w:p>
        </w:tc>
        <w:tc>
          <w:tcPr>
            <w:tcW w:w="1060" w:type="dxa"/>
            <w:vAlign w:val="bottom"/>
          </w:tcPr>
          <w:p>
            <w:pPr>
              <w:jc w:val="right"/>
              <w:spacing w:after="0"/>
              <w:rPr>
                <w:sz w:val="20"/>
                <w:szCs w:val="20"/>
                <w:color w:val="auto"/>
              </w:rPr>
            </w:pPr>
            <w:r>
              <w:rPr>
                <w:rFonts w:ascii="Arial" w:cs="Arial" w:eastAsia="Arial" w:hAnsi="Arial"/>
                <w:sz w:val="16"/>
                <w:szCs w:val="16"/>
                <w:color w:val="auto"/>
              </w:rPr>
              <w:t>1,618,122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stock</w:t>
            </w: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option plan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53,220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291,498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(2,782)</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(2,782)</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Balances, October 2, 2021</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20" w:type="dxa"/>
            <w:vAlign w:val="bottom"/>
            <w:vMerge w:val="continue"/>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15,862,523</w:t>
            </w:r>
          </w:p>
        </w:tc>
        <w:tc>
          <w:tcPr>
            <w:tcW w:w="220" w:type="dxa"/>
            <w:vAlign w:val="bottom"/>
          </w:tcPr>
          <w:p>
            <w:pPr>
              <w:spacing w:after="0"/>
              <w:rPr>
                <w:sz w:val="21"/>
                <w:szCs w:val="21"/>
                <w:color w:val="auto"/>
              </w:rPr>
            </w:pP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168</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84,851</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(59,726)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62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For the three months ended September 26, 2020</w:t>
            </w:r>
          </w:p>
        </w:tc>
        <w:tc>
          <w:tcPr>
            <w:tcW w:w="206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June 27, 2020</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13,856,969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(55,046)</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40,384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(1,719)</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Balances, September 26, 2020</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13,897,353</w:t>
            </w:r>
          </w:p>
        </w:tc>
        <w:tc>
          <w:tcPr>
            <w:tcW w:w="220" w:type="dxa"/>
            <w:vAlign w:val="bottom"/>
          </w:tcPr>
          <w:p>
            <w:pPr>
              <w:spacing w:after="0"/>
              <w:rPr>
                <w:sz w:val="17"/>
                <w:szCs w:val="17"/>
                <w:color w:val="auto"/>
              </w:rPr>
            </w:pP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148</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73,837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(56,765)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2"/>
              </w:rPr>
              <w:t>For the nine months ended September 26, 2020</w:t>
            </w:r>
          </w:p>
        </w:tc>
        <w:tc>
          <w:tcPr>
            <w:tcW w:w="206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28, 2019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13,785,233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(50,615)</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112,120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(6,150)</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(6,150)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Balances, September 26, 2020</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13,897,353</w:t>
            </w:r>
          </w:p>
        </w:tc>
        <w:tc>
          <w:tcPr>
            <w:tcW w:w="220" w:type="dxa"/>
            <w:vAlign w:val="bottom"/>
          </w:tcPr>
          <w:p>
            <w:pPr>
              <w:spacing w:after="0"/>
              <w:rPr>
                <w:sz w:val="17"/>
                <w:szCs w:val="17"/>
                <w:color w:val="auto"/>
              </w:rPr>
            </w:pP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148</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73,837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(56,765)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79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7"/>
              </w:rPr>
              <w:t>October 2, 2021</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1"/>
              </w:rPr>
              <w:t>September 26,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Gain on PPP loan forgiveness</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Loss on sale of property and equipment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792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paid for business combination, net</w:t>
            </w: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500"/>
              <w:spacing w:after="0"/>
              <w:rPr>
                <w:sz w:val="20"/>
                <w:szCs w:val="20"/>
                <w:color w:val="auto"/>
              </w:rPr>
            </w:pPr>
            <w:r>
              <w:rPr>
                <w:rFonts w:ascii="Arial" w:cs="Arial" w:eastAsia="Arial" w:hAnsi="Arial"/>
                <w:sz w:val="18"/>
                <w:szCs w:val="18"/>
                <w:color w:val="auto"/>
              </w:rPr>
              <w:t>Proceeds from stock option exercise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920" w:type="dxa"/>
            <w:vAlign w:val="bottom"/>
          </w:tcPr>
          <w:p>
            <w:pPr>
              <w:ind w:left="500"/>
              <w:spacing w:after="0"/>
              <w:rPr>
                <w:sz w:val="20"/>
                <w:szCs w:val="20"/>
                <w:color w:val="auto"/>
              </w:rPr>
            </w:pPr>
            <w:r>
              <w:rPr>
                <w:rFonts w:ascii="Arial" w:cs="Arial" w:eastAsia="Arial" w:hAnsi="Arial"/>
                <w:sz w:val="18"/>
                <w:szCs w:val="18"/>
                <w:color w:val="auto"/>
              </w:rPr>
              <w:t>Proceeds from PPP loan</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25,568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period for income taxes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Arial" w:cs="Arial" w:eastAsia="Arial" w:hAnsi="Arial"/>
                <w:sz w:val="18"/>
                <w:szCs w:val="18"/>
                <w:color w:val="auto"/>
              </w:rPr>
              <w:t>ROU assets obtained with the modification of operating lease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80"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2, 2021, which was filed with the Securities and Exchange Commission (“SEC”) on March 23, 2021. The results of operations for the three and nine months ended October 2, 2021 and September 26, 2020 are not necessarily indicative of the results for the fiscal year ending January 1, 2022 or any future interim period. The three and nine months ended October 2, 2021 and September 26, 2020, each had 13 weeks and 39 weeks, respectively.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January 2, 2021, which was filed with the SEC on March 23,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Service Contracts, (4) System Repairs (outside of warranty), (5) Royalty Revenue and (6) Exclusive Distribution Rights.</w:t>
      </w:r>
    </w:p>
    <w:p>
      <w:pPr>
        <w:spacing w:after="0" w:line="62" w:lineRule="exact"/>
        <w:rPr>
          <w:sz w:val="20"/>
          <w:szCs w:val="20"/>
          <w:color w:val="auto"/>
        </w:rPr>
      </w:pPr>
    </w:p>
    <w:p>
      <w:pPr>
        <w:ind w:left="1000" w:right="80" w:hanging="493"/>
        <w:spacing w:after="0" w:line="25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p>
    <w:p>
      <w:pPr>
        <w:spacing w:after="0" w:line="79" w:lineRule="exact"/>
        <w:rPr>
          <w:rFonts w:ascii="Arial" w:cs="Arial" w:eastAsia="Arial" w:hAnsi="Arial"/>
          <w:sz w:val="18"/>
          <w:szCs w:val="18"/>
          <w:color w:val="auto"/>
        </w:rPr>
      </w:pPr>
    </w:p>
    <w:p>
      <w:pPr>
        <w:ind w:left="1020" w:right="240"/>
        <w:spacing w:after="0" w:line="301" w:lineRule="auto"/>
        <w:rPr>
          <w:rFonts w:ascii="Arial" w:cs="Arial" w:eastAsia="Arial" w:hAnsi="Arial"/>
          <w:sz w:val="18"/>
          <w:szCs w:val="18"/>
          <w:color w:val="auto"/>
        </w:rPr>
      </w:pPr>
      <w:r>
        <w:rPr>
          <w:rFonts w:ascii="Arial" w:cs="Arial" w:eastAsia="Arial" w:hAnsi="Arial"/>
          <w:sz w:val="16"/>
          <w:szCs w:val="16"/>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500" w:right="20" w:hanging="493"/>
        <w:spacing w:after="0" w:line="293"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the Company has determined that there is no value associated with the old machines and the trade in is essentially offered to encourage customers to purchase more consumables under the program.</w:t>
      </w:r>
    </w:p>
    <w:p>
      <w:pPr>
        <w:spacing w:after="0" w:line="56" w:lineRule="exact"/>
        <w:rPr>
          <w:rFonts w:ascii="Arial" w:cs="Arial" w:eastAsia="Arial" w:hAnsi="Arial"/>
          <w:sz w:val="16"/>
          <w:szCs w:val="16"/>
          <w:color w:val="auto"/>
        </w:rPr>
      </w:pPr>
    </w:p>
    <w:p>
      <w:pPr>
        <w:ind w:left="520" w:right="60"/>
        <w:spacing w:after="0" w:line="263" w:lineRule="auto"/>
        <w:rPr>
          <w:rFonts w:ascii="Arial" w:cs="Arial" w:eastAsia="Arial" w:hAnsi="Arial"/>
          <w:sz w:val="16"/>
          <w:szCs w:val="16"/>
          <w:color w:val="auto"/>
        </w:rPr>
      </w:pPr>
      <w:r>
        <w:rPr>
          <w:rFonts w:ascii="Arial" w:cs="Arial" w:eastAsia="Arial" w:hAnsi="Arial"/>
          <w:sz w:val="18"/>
          <w:szCs w:val="18"/>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5" w:lineRule="exact"/>
        <w:rPr>
          <w:rFonts w:ascii="Arial" w:cs="Arial" w:eastAsia="Arial" w:hAnsi="Arial"/>
          <w:sz w:val="16"/>
          <w:szCs w:val="16"/>
          <w:color w:val="auto"/>
        </w:rPr>
      </w:pPr>
    </w:p>
    <w:p>
      <w:pPr>
        <w:ind w:left="500" w:right="140" w:hanging="493"/>
        <w:spacing w:after="0" w:line="28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57" w:lineRule="exact"/>
        <w:rPr>
          <w:rFonts w:ascii="Arial" w:cs="Arial" w:eastAsia="Arial" w:hAnsi="Arial"/>
          <w:sz w:val="17"/>
          <w:szCs w:val="17"/>
          <w:color w:val="auto"/>
        </w:rPr>
      </w:pPr>
    </w:p>
    <w:p>
      <w:pPr>
        <w:ind w:left="520" w:right="580"/>
        <w:spacing w:after="0" w:line="277" w:lineRule="auto"/>
        <w:rPr>
          <w:rFonts w:ascii="Arial" w:cs="Arial" w:eastAsia="Arial" w:hAnsi="Arial"/>
          <w:sz w:val="17"/>
          <w:szCs w:val="17"/>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62" w:lineRule="exact"/>
        <w:rPr>
          <w:rFonts w:ascii="Arial" w:cs="Arial" w:eastAsia="Arial" w:hAnsi="Arial"/>
          <w:sz w:val="17"/>
          <w:szCs w:val="17"/>
          <w:color w:val="auto"/>
        </w:rPr>
      </w:pPr>
    </w:p>
    <w:p>
      <w:pPr>
        <w:ind w:left="1040" w:right="140" w:hanging="506"/>
        <w:spacing w:after="0" w:line="259" w:lineRule="auto"/>
        <w:tabs>
          <w:tab w:leader="none" w:pos="1040" w:val="left"/>
        </w:tabs>
        <w:numPr>
          <w:ilvl w:val="2"/>
          <w:numId w:val="7"/>
        </w:numPr>
        <w:rPr>
          <w:rFonts w:ascii="Arial" w:cs="Arial" w:eastAsia="Arial" w:hAnsi="Arial"/>
          <w:sz w:val="18"/>
          <w:szCs w:val="18"/>
          <w:color w:val="auto"/>
        </w:rPr>
      </w:pPr>
      <w:r>
        <w:rPr>
          <w:rFonts w:ascii="Arial" w:cs="Arial" w:eastAsia="Arial" w:hAnsi="Arial"/>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040" w:right="20" w:hanging="506"/>
        <w:spacing w:after="0" w:line="291" w:lineRule="auto"/>
        <w:tabs>
          <w:tab w:leader="none" w:pos="1040" w:val="left"/>
        </w:tabs>
        <w:numPr>
          <w:ilvl w:val="2"/>
          <w:numId w:val="7"/>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58" w:lineRule="exact"/>
        <w:rPr>
          <w:rFonts w:ascii="Arial" w:cs="Arial" w:eastAsia="Arial" w:hAnsi="Arial"/>
          <w:sz w:val="16"/>
          <w:szCs w:val="16"/>
          <w:color w:val="auto"/>
        </w:rPr>
      </w:pPr>
    </w:p>
    <w:p>
      <w:pPr>
        <w:ind w:left="500" w:right="380" w:hanging="493"/>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62" w:lineRule="exact"/>
        <w:rPr>
          <w:rFonts w:ascii="Arial" w:cs="Arial" w:eastAsia="Arial" w:hAnsi="Arial"/>
          <w:sz w:val="18"/>
          <w:szCs w:val="18"/>
          <w:color w:val="auto"/>
        </w:rPr>
      </w:pPr>
    </w:p>
    <w:p>
      <w:pPr>
        <w:ind w:left="520" w:right="120"/>
        <w:spacing w:after="0" w:line="311" w:lineRule="auto"/>
        <w:rPr>
          <w:rFonts w:ascii="Arial" w:cs="Arial" w:eastAsia="Arial" w:hAnsi="Arial"/>
          <w:sz w:val="18"/>
          <w:szCs w:val="18"/>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40"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rFonts w:ascii="Arial" w:cs="Arial" w:eastAsia="Arial" w:hAnsi="Arial"/>
          <w:sz w:val="18"/>
          <w:szCs w:val="18"/>
          <w:color w:val="auto"/>
        </w:rPr>
      </w:pPr>
    </w:p>
    <w:p>
      <w:pPr>
        <w:ind w:left="520" w:right="100"/>
        <w:spacing w:after="0" w:line="257"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9" w:lineRule="exact"/>
        <w:rPr>
          <w:rFonts w:ascii="Arial" w:cs="Arial" w:eastAsia="Arial" w:hAnsi="Arial"/>
          <w:sz w:val="18"/>
          <w:szCs w:val="18"/>
          <w:color w:val="auto"/>
        </w:rPr>
      </w:pPr>
    </w:p>
    <w:p>
      <w:pPr>
        <w:ind w:left="520" w:hanging="459"/>
        <w:spacing w:after="0" w:line="269" w:lineRule="auto"/>
        <w:tabs>
          <w:tab w:leader="none" w:pos="520" w:val="left"/>
        </w:tabs>
        <w:numPr>
          <w:ilvl w:val="1"/>
          <w:numId w:val="7"/>
        </w:numPr>
        <w:rPr>
          <w:rFonts w:ascii="Arial" w:cs="Arial" w:eastAsia="Arial" w:hAnsi="Arial"/>
          <w:sz w:val="17"/>
          <w:szCs w:val="17"/>
          <w:color w:val="auto"/>
        </w:rPr>
      </w:pPr>
      <w:r>
        <w:rPr>
          <w:rFonts w:ascii="Arial" w:cs="Arial" w:eastAsia="Arial" w:hAnsi="Arial"/>
          <w:sz w:val="17"/>
          <w:szCs w:val="17"/>
          <w:color w:val="auto"/>
        </w:rPr>
        <w:t>Exclusive Distribution Rights: In March 2021, Company entered into a distribution agreement with Topcon Corporation (“Topcon”),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agreement further stipulates that $2.0 million of arrangement fee is held back and will not be paid in the event that regulatory approval for the Japan region is not obtained within nine months from the date of execution of the agreement.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49" w:right="339" w:bottom="1440" w:gutter="0" w:footer="0" w:header="0"/>
        </w:sectPr>
      </w:pPr>
    </w:p>
    <w:bookmarkStart w:id="11" w:name="page12"/>
    <w:bookmarkEnd w:id="11"/>
    <w:p>
      <w:pPr>
        <w:ind w:left="1020" w:right="20"/>
        <w:spacing w:after="0" w:line="272" w:lineRule="auto"/>
        <w:rPr>
          <w:sz w:val="20"/>
          <w:szCs w:val="20"/>
          <w:color w:val="auto"/>
        </w:rPr>
      </w:pPr>
      <w:r>
        <w:rPr>
          <w:rFonts w:ascii="Arial" w:cs="Arial" w:eastAsia="Arial" w:hAnsi="Arial"/>
          <w:sz w:val="17"/>
          <w:szCs w:val="17"/>
          <w:color w:val="auto"/>
        </w:rPr>
        <w:t>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management has fully-constrained the arrangement fee allocated to Japan and Belarus (totaling approximately $3.4 million, of which $1.4 million was recorded as customer deposit under other current liabilities) because of significant uncertainty regarding obtaining the necessary regulatory approvals and termination of existing distributor relationships in those regions. As of October 2, 2021, $0.2 million and $0.3 million in revenue related to the exclusive distribution rights was recorded for the three and nine months then ended.</w:t>
      </w:r>
    </w:p>
    <w:p>
      <w:pPr>
        <w:spacing w:after="0" w:line="6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October 2, 2021 and as of January 2, 2021, the Company was not a party to finance lease arrangements.</w:t>
      </w:r>
    </w:p>
    <w:p>
      <w:pPr>
        <w:spacing w:after="0" w:line="7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nine months ended October 2, 2021, one customer, Topcon, accounted for more than 10% of total revenues, representing 21% and 15%, respectively. For the three and nine months ended September 26, 2020, no single customer accounted for more than 10% of total revenues. As of October 2, 2021, one customer, Topcon, accounted for over 10% of our accounts receivable, representing 23%. As of January 2, 2021, one customer accounted for more than 10% of our accounts receivable, representing 13%.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20" w:firstLine="510"/>
        <w:spacing w:after="0" w:line="277" w:lineRule="auto"/>
        <w:rPr>
          <w:sz w:val="20"/>
          <w:szCs w:val="20"/>
          <w:color w:val="auto"/>
        </w:rPr>
      </w:pPr>
      <w:r>
        <w:rPr>
          <w:rFonts w:ascii="Arial" w:cs="Arial" w:eastAsia="Arial" w:hAnsi="Arial"/>
          <w:sz w:val="18"/>
          <w:szCs w:val="18"/>
          <w:color w:val="auto"/>
        </w:rPr>
        <w:t>A reconciliation of the changes in the Company’s deferred revenue balance for the nine months ended October 2, 2021 and September 26, 2020 is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2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October 2, 2021</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4"/>
              <w:spacing w:after="0" w:line="133" w:lineRule="exact"/>
              <w:rPr>
                <w:sz w:val="20"/>
                <w:szCs w:val="20"/>
                <w:color w:val="auto"/>
              </w:rPr>
            </w:pPr>
            <w:r>
              <w:rPr>
                <w:rFonts w:ascii="Arial" w:cs="Arial" w:eastAsia="Arial" w:hAnsi="Arial"/>
                <w:sz w:val="14"/>
                <w:szCs w:val="14"/>
                <w:b w:val="1"/>
                <w:bCs w:val="1"/>
                <w:color w:val="auto"/>
                <w:w w:val="89"/>
              </w:rPr>
              <w:t>September 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Additions to deferral</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Deductions from reserves</w:t>
            </w: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 of deferred revenue</w:t>
            </w:r>
          </w:p>
        </w:tc>
        <w:tc>
          <w:tcPr>
            <w:tcW w:w="1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1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During the nine months ended October 2, 2021 and September 26, 2020, approximately $0.8 million and $1.0 million were recognized pertaining to amounts deferred as of January 2, 2021 and December 28, 2019, respectively. As of October 2, 2021, approximately $9.9 million and $1.1 million of the non-current portion of deferred revenue and current portion of deferred revenue, respectively, pertains to exclusivity fee deferred revenue.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57"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A reconciliation of the changes in the Company’s warranty liability for the nine months ended October 2, 2021 and September 26, 2020 is as follows: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5340" w:type="dxa"/>
            <w:vAlign w:val="bottom"/>
          </w:tcPr>
          <w:p>
            <w:pPr>
              <w:spacing w:after="0"/>
              <w:rPr>
                <w:sz w:val="11"/>
                <w:szCs w:val="11"/>
                <w:color w:val="auto"/>
              </w:rPr>
            </w:pPr>
          </w:p>
        </w:tc>
        <w:tc>
          <w:tcPr>
            <w:tcW w:w="132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October 2, 2021</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89"/>
              </w:rPr>
              <w:t>September 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3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4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Company adopted ASU 2019-12 in fiscal year 2021 and the standard did not have a material impact on its condensed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3. Significant Transactions</w:t>
      </w:r>
    </w:p>
    <w:p>
      <w:pPr>
        <w:spacing w:after="0" w:line="121"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On March 2, 2021, the Company entered into a series of strategic transactions with Topcon, headquartered in Tokyo Japan, pursuant to which (i) the Company purchased substantially all of the tangible and intangible assets of Topcon Medical Laser Systems, Inc. (“TMLS”) related to laser products previously manufactured and sold by TMLS, including the Pattern Scanning Laser (PASCAL) products, under the tradename “PASCAL” altogether, the “PASCAL Business”, (ii) Topcon acquired an equity interest in the Company, comprised of the issuance of 1,618,122 shares of the Company’s common stock at $6.18 per share (as determined based on the average of the Nasdaq Official Closing Price of the Company’s common stock for the five trading days immediately preceding March 2, 2021), and (iii) the Company granted Topcon the exclusive right to distribute certain of its products (including the PASCAL laser products) in certain international regions (the “Exclusive Distribution Rights”) and (iv) Topcon and the Company entered into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40"/>
        <w:spacing w:after="0" w:line="270" w:lineRule="auto"/>
        <w:rPr>
          <w:sz w:val="20"/>
          <w:szCs w:val="20"/>
          <w:color w:val="auto"/>
        </w:rPr>
      </w:pPr>
      <w:r>
        <w:rPr>
          <w:rFonts w:ascii="Arial" w:cs="Arial" w:eastAsia="Arial" w:hAnsi="Arial"/>
          <w:sz w:val="17"/>
          <w:szCs w:val="17"/>
          <w:color w:val="auto"/>
        </w:rPr>
        <w:t>the Manufacturing Services Agreement regarding transition of regulatory authorizations relating to, and manufacturing and supply of, the PASCAL products for a specified post-closing transition period. The transaction is expected to result in net proceeds to the Company of approximately $19.5 million (of which $17.5 million was received on March 10, 2021 with the remaining $2.0 million expected to be received later only if, as of the exclusive distribution rights start date, the Company has (A) begun the process of transferring to Topcon the exclusive distribution right in Japan, which process shall be evidenced by a copy of a written notice or letter sent by the Company to the existing distributor in Japan under which it has exercised its right of termination or non-renewal in accordance with the terms of the applicable existing distributor agreement and (B) used its commercially reasonable efforts to obtain a written acknowledgement by such existing distributor to assign and transfer all supporting documents in such existing distributor’s possession that are necessary for Topcon to effectuate the transfer of exclusive distribution rights to Topcon in Japan.). The net proceeds have been allocated on a fair value basis as follows (in thousands):</w:t>
      </w:r>
    </w:p>
    <w:p>
      <w:pPr>
        <w:spacing w:after="0" w:line="222"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1)</w:t>
            </w:r>
          </w:p>
        </w:tc>
        <w:tc>
          <w:tcPr>
            <w:tcW w:w="5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Sale of equity interest (before issuance costs)</w:t>
            </w: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5340" w:type="dxa"/>
            <w:vAlign w:val="bottom"/>
          </w:tcPr>
          <w:p>
            <w:pPr>
              <w:ind w:left="60"/>
              <w:spacing w:after="0"/>
              <w:rPr>
                <w:sz w:val="20"/>
                <w:szCs w:val="20"/>
                <w:color w:val="auto"/>
              </w:rPr>
            </w:pPr>
            <w:r>
              <w:rPr>
                <w:rFonts w:ascii="Arial" w:cs="Arial" w:eastAsia="Arial" w:hAnsi="Arial"/>
                <w:sz w:val="18"/>
                <w:szCs w:val="18"/>
                <w:color w:val="auto"/>
              </w:rPr>
              <w:t>Grant of exclusive distribution rights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14,800</w:t>
            </w:r>
          </w:p>
        </w:tc>
        <w:tc>
          <w:tcPr>
            <w:tcW w:w="80" w:type="dxa"/>
            <w:vAlign w:val="bottom"/>
          </w:tcPr>
          <w:p>
            <w:pPr>
              <w:spacing w:after="0"/>
              <w:rPr>
                <w:sz w:val="19"/>
                <w:szCs w:val="19"/>
                <w:color w:val="auto"/>
              </w:rPr>
            </w:pPr>
          </w:p>
        </w:tc>
      </w:tr>
      <w:tr>
        <w:trPr>
          <w:trHeight w:val="230"/>
        </w:trPr>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3)</w:t>
            </w:r>
          </w:p>
        </w:tc>
        <w:tc>
          <w:tcPr>
            <w:tcW w:w="5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Purchase of tangible and intangible assets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(5,343)</w:t>
            </w:r>
          </w:p>
        </w:tc>
      </w:tr>
      <w:tr>
        <w:trPr>
          <w:trHeight w:val="223"/>
        </w:trPr>
        <w:tc>
          <w:tcPr>
            <w:tcW w:w="200" w:type="dxa"/>
            <w:vAlign w:val="bottom"/>
          </w:tcPr>
          <w:p>
            <w:pPr>
              <w:spacing w:after="0"/>
              <w:rPr>
                <w:sz w:val="19"/>
                <w:szCs w:val="19"/>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Net Proceeds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19,457</w:t>
            </w:r>
          </w:p>
        </w:tc>
        <w:tc>
          <w:tcPr>
            <w:tcW w:w="80" w:type="dxa"/>
            <w:vAlign w:val="bottom"/>
          </w:tcPr>
          <w:p>
            <w:pPr>
              <w:spacing w:after="0"/>
              <w:rPr>
                <w:sz w:val="19"/>
                <w:szCs w:val="19"/>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purchase of tangible and intangible assets has been recognized as an acquisition of a business with the relative fair value of the net consideration allocated to the tangible and intangible assets based on their preliminary estimated fair values as of the acquisition date.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Refer to Note 2. Summary of Significant Accounting Policies for the recognition of revenue under ASC 606 for the grant of exclusive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substantially all of TMLS’ assets including the rights to the PASCAL product.</w:t>
      </w:r>
    </w:p>
    <w:p>
      <w:pPr>
        <w:spacing w:after="0" w:line="117"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On March 10, 2021, the Company completed the purchase of substantially all of the tangible and intangible assets of TMLS, which was an established leader in manufacturing and selling laser products under the tradename “PASCAL”. The acquisition has been recognized as an acquisition of a business and the purchase price (approximately $5.3 million) has been preliminarily allocated to tangible and identified intangible assets acquired based on their estimated fair values. As additional information becomes available, the Company may further revise the preliminary purchase price allocation during the remainder of the measurement period (which will not exceed 12 months from March 10, 2021). Any such revisions or changes may be material.</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preliminary allocation of the total purchase price:</w:t>
      </w:r>
    </w:p>
    <w:p>
      <w:pPr>
        <w:spacing w:after="0" w:line="24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Estimated Fair</w:t>
            </w:r>
          </w:p>
        </w:tc>
      </w:tr>
      <w:tr>
        <w:trPr>
          <w:trHeight w:val="162"/>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Manufacturing and Office Equipment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Other tangible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5,343</w:t>
            </w:r>
          </w:p>
        </w:tc>
        <w:tc>
          <w:tcPr>
            <w:tcW w:w="60" w:type="dxa"/>
            <w:vAlign w:val="bottom"/>
          </w:tcPr>
          <w:p>
            <w:pPr>
              <w:spacing w:after="0"/>
              <w:rPr>
                <w:sz w:val="19"/>
                <w:szCs w:val="19"/>
                <w:color w:val="auto"/>
              </w:rPr>
            </w:pPr>
          </w:p>
        </w:tc>
      </w:tr>
    </w:tbl>
    <w:p>
      <w:pPr>
        <w:spacing w:after="0" w:line="229"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Developed technology relates to PASCAL products, a pattern scanning laser used for retinal treatments, and was valued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is estimated to be seven years, as determined based on the technology cycle related to the developed technology, and the estimated cash flows over the forecast period.</w:t>
      </w:r>
    </w:p>
    <w:p>
      <w:pPr>
        <w:spacing w:after="0" w:line="4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IPR&amp;D pertains to an upcoming release of PASCAL products and has been valued using the multi-period excess earnings method under the income approach.</w:t>
      </w:r>
    </w:p>
    <w:p>
      <w:pPr>
        <w:spacing w:after="0" w:line="6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Trade names and Trademarks pertain to the “PASCAL” trade name, and the fair value was determined by applying the relief-from-royalty method under the income approach. The economic useful life is estimated to be nine years, based on the expected life of the trade name and the cash flows anticipated over the forecast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240" w:firstLine="510"/>
        <w:spacing w:after="0" w:line="277" w:lineRule="auto"/>
        <w:rPr>
          <w:sz w:val="20"/>
          <w:szCs w:val="20"/>
          <w:color w:val="auto"/>
        </w:rPr>
      </w:pPr>
      <w:r>
        <w:rPr>
          <w:rFonts w:ascii="Arial" w:cs="Arial" w:eastAsia="Arial" w:hAnsi="Arial"/>
          <w:sz w:val="18"/>
          <w:szCs w:val="18"/>
          <w:color w:val="auto"/>
        </w:rPr>
        <w:t>Customer relationships represent the fair value of future projected revenue that will be derived from sales of products to existing customers of the TMLS Business, with an estimated useful life of seven years.</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Goodwill is primarily attributable to the assembled workforce and anticipated synergies and economies of scale expected from the integration of the TMLS Business. Substantially all goodwill is deductible for tax purposes.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October 2, 2021 and January 2, 2021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October 2, 2021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2, 2021</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20" w:type="dxa"/>
            <w:vAlign w:val="bottom"/>
            <w:tcBorders>
              <w:top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3,831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Work in process</w:t>
            </w: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4,545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inventories</w:t>
            </w:r>
          </w:p>
        </w:tc>
        <w:tc>
          <w:tcPr>
            <w:tcW w:w="1420" w:type="dxa"/>
            <w:vAlign w:val="bottom"/>
            <w:tcBorders>
              <w:bottom w:val="single" w:sz="8" w:color="auto"/>
            </w:tcBorders>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8,791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$1.0 million and $0.5 million as of October 2, 2021 and January 2, 2021, respectively.</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2021 and determined that its goodwill was not impaired.</w:t>
      </w:r>
    </w:p>
    <w:p>
      <w:pPr>
        <w:spacing w:after="0" w:line="60"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In March 2021, the Company recorded approximately $0.4 million goodwill in connection with its purchase of the PASCAL Business. As of October 2, 2021, the Company had not identified any factors that indicated there was an impairment of its goodwill and determined that no additional impairment analysis was then required.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October 2, 2021</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January 2, 2021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8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8"/>
              </w:rPr>
              <w:t>Amortization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Life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5.31 Years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tcPr>
          <w:p>
            <w:pPr>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6.42 Years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8.42 Years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In-process R&amp;D</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2"/>
              </w:rPr>
              <w:t>Not applicable</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For the nine months ended October 2, 2021 and September 26, 2020, amortization expense totaled $115 thousand and $12 thousand,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680" w:firstLine="510"/>
        <w:spacing w:after="0" w:line="342" w:lineRule="auto"/>
        <w:rPr>
          <w:sz w:val="20"/>
          <w:szCs w:val="20"/>
          <w:color w:val="auto"/>
        </w:rPr>
      </w:pPr>
      <w:r>
        <w:rPr>
          <w:rFonts w:ascii="Arial" w:cs="Arial" w:eastAsia="Arial" w:hAnsi="Arial"/>
          <w:sz w:val="16"/>
          <w:szCs w:val="16"/>
          <w:color w:val="auto"/>
        </w:rPr>
        <w:t>The amortizations of customer relationships and trade names were charged to sales and marketing expense. The amortization for developed technology was charged to research and development expense. Future estimated amortization expense excluding in-process R&amp;D (in thousands):</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2021 (three months)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00" w:right="20" w:hanging="493"/>
        <w:spacing w:after="0" w:line="25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6" w:lineRule="exact"/>
        <w:rPr>
          <w:sz w:val="20"/>
          <w:szCs w:val="20"/>
          <w:color w:val="auto"/>
        </w:rPr>
      </w:pPr>
    </w:p>
    <w:p>
      <w:pPr>
        <w:ind w:right="880" w:firstLine="510"/>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38"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October 2, 2021 and January 2, 2021, approximate fair value because of the short maturity of these instruments.</w:t>
      </w:r>
    </w:p>
    <w:p>
      <w:pPr>
        <w:spacing w:after="0" w:line="16"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of October 2, 2021 and January 2, 2021, financial assets measured and recognized at fair value on a recurring basis and classified under the appropriate level of the fair value hierarchy as described above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October 2, 2021</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As of January 2, 2021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w w:val="97"/>
              </w:rPr>
              <w:t>Fair Value Measurements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ind w:left="4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w w:val="88"/>
              </w:rPr>
              <w:t>Level 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w w:val="88"/>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0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24,496</w:t>
            </w:r>
          </w:p>
        </w:tc>
        <w:tc>
          <w:tcPr>
            <w:tcW w:w="8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24,496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11,051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PPP Loan</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April 23, 2020, the Company qualified for and received a loan pursuant to the Paycheck Protection Program, a program implemented by the U.S. Small Business Administration under the Coronavirus Aid, Relief, and Economic Security (“CARES”) Act, from a qualified lender (the “PPP Lender”), for an aggregate principal amount of approximately $2.5 million (the "PPP Loan"). The PPP Loan bears interest at a fixed rate of 1.0% per annum, with the first six months of interest deferred, has a term of two years, and is unsecured and guaranteed by the U.S. Small Business Administration (the “SBA”). The principal amount of the PPP Loan is subject to forgiveness under the Paycheck Protection Program upon the Company’s request to the extent that the PPP Loan proceeds are used to pay expenses permitted by the Paycheck Protection Program, including payroll costs, covered rent and mortgage obligations, and covered utility payments incurred by the Company. On September 22, 2020, the Company submitted the PPP Loan forgiveness application for the entire amount of approximately $2.5 million. To the extent that all or part of the PPP Loan was not forgiven, the Company would have been required to pay interest on the PPP Loan at a rate of 1.0% per annum. The terms of the PPP Loan provide for customary events of default including, among other things, payment defaults, breach of representations, and insolvency events.</w:t>
      </w:r>
    </w:p>
    <w:p>
      <w:pPr>
        <w:spacing w:after="0" w:line="7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June 2021, the Company was notified by Silicon Valley Bank that its PPP loan, including accrued interest, has been fully forgiven by the SBA. We recognized a $2.5 million gain on PPP Loan forgiveness, included in Other income, net in the condensed consolidated statements of operations for the nine months ended October 2,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COVID-19 pandemic has created and may continue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Our operating lease commitments consist of facility and office equipment leases. Operating lease expenses for the nine months ended October 2, 2021 and September 26, 2020 were approximately $0.9 million and $1.0 million, respectively. The weighted average discount rate used in calculating the present value of lease payments was 4.8%. As of October 2, 2021, the weighted average remaining lease term for our operating leases was 2.9 years.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represents maturities of operating lease liabilities as of October 2, 2021 (in thousands):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Lease Payments</w:t>
            </w:r>
          </w:p>
        </w:tc>
        <w:tc>
          <w:tcPr>
            <w:tcW w:w="0" w:type="dxa"/>
            <w:vAlign w:val="bottom"/>
          </w:tcPr>
          <w:p>
            <w:pPr>
              <w:spacing w:after="0"/>
              <w:rPr>
                <w:sz w:val="1"/>
                <w:szCs w:val="1"/>
                <w:color w:val="auto"/>
              </w:rPr>
            </w:pPr>
          </w:p>
        </w:tc>
      </w:tr>
      <w:tr>
        <w:trPr>
          <w:trHeight w:val="223"/>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 (3 months)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April 30, 2021, the First Amendment to that certain Triple Net Lease dated April 26, 2017 between the Company and ZIC 1212 Terra Bella LLC (“First Amendment”) was executed, among other things, to reduce the portion of premises leased by the Company and extend the lease term through August 31, 2024.</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First Amendment, the base monthly rent for the reduced premises of approximately 29,830 square feet, ranges from $84,121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$93,070, for the period May 1, 2021 to August 31, 2024. The Company is also responsible for the payment of certain operating expenses and taxes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The Lease provides the landlord with a termination right, which can be exercised by the landlord by giving written notice to the Company at least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thirty (30) months prior to the effective date of the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October 2, 2021, our future minimum payments through fiscal year 2022 for our purchase commitments were approximately $16.1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2" w:lineRule="exact"/>
        <w:rPr>
          <w:sz w:val="20"/>
          <w:szCs w:val="20"/>
          <w:color w:val="auto"/>
        </w:rPr>
      </w:pPr>
    </w:p>
    <w:p>
      <w:pPr>
        <w:ind w:right="6940" w:firstLine="8"/>
        <w:spacing w:after="0" w:line="377"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spacing w:after="0" w:line="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(“RSUs”) in accordance with ASC 718</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63"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terms of awards granted during the nine months ended October 2, 2021 were consistent with those described in the consolidated financial statements included in our Annual Report on Form 10-K for the year ended January 2, 2021.</w:t>
      </w:r>
    </w:p>
    <w:p>
      <w:pPr>
        <w:spacing w:after="0" w:line="6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and nine months ended October 2, 2021 and September 26, 2020:</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October 2, 2021</w:t>
            </w:r>
          </w:p>
        </w:tc>
        <w:tc>
          <w:tcPr>
            <w:tcW w:w="6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20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October 2, 2021</w:t>
            </w:r>
          </w:p>
        </w:tc>
        <w:tc>
          <w:tcPr>
            <w:tcW w:w="220" w:type="dxa"/>
            <w:vAlign w:val="bottom"/>
          </w:tcPr>
          <w:p>
            <w:pPr>
              <w:spacing w:after="0"/>
              <w:rPr>
                <w:sz w:val="11"/>
                <w:szCs w:val="11"/>
                <w:color w:val="auto"/>
              </w:rPr>
            </w:pPr>
          </w:p>
        </w:tc>
        <w:tc>
          <w:tcPr>
            <w:tcW w:w="10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243</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94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774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capitalized to inventory was immaterial for the nine months ended October 2, 2021 and September 26, 2020.</w:t>
      </w:r>
    </w:p>
    <w:p>
      <w:pPr>
        <w:spacing w:after="0" w:line="14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As of October 2, 2021, there was $3.0 million of total unrecognized compensation cost, net of expected forfeitures, related to non-vested stock-based compensation arrangements. The cost is expected to be recognized over a weighted average period of 2.21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options information during the nine months ended October 2, 2021:</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Per Share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2, 2021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4.67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331,663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(53,220)</w:t>
            </w: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3.29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(132,023)</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October 2,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1,795,960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5.09</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weighted average grant date fair value of the options granted was $3.79 and $1.06 per share for the nine months ended October 2, 2021 and September 26, 2020, respectively.</w:t>
      </w:r>
    </w:p>
    <w:p>
      <w:pPr>
        <w:spacing w:after="0" w:line="6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stock-based awards (options) with the following weighted average assumptions: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5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4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0"/>
              </w:rPr>
              <w:t>October 2, 2021</w:t>
            </w:r>
          </w:p>
        </w:tc>
        <w:tc>
          <w:tcPr>
            <w:tcW w:w="300" w:type="dxa"/>
            <w:vAlign w:val="bottom"/>
            <w:tcBorders>
              <w:top w:val="single" w:sz="8" w:color="auto"/>
            </w:tcBorders>
            <w:vMerge w:val="restart"/>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280" w:type="dxa"/>
            <w:vAlign w:val="bottom"/>
          </w:tcPr>
          <w:p>
            <w:pPr>
              <w:spacing w:after="0"/>
              <w:rPr>
                <w:sz w:val="11"/>
                <w:szCs w:val="11"/>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October 2, 2021</w:t>
            </w:r>
          </w:p>
        </w:tc>
        <w:tc>
          <w:tcPr>
            <w:tcW w:w="280" w:type="dxa"/>
            <w:vAlign w:val="bottom"/>
            <w:tcBorders>
              <w:top w:val="single" w:sz="8" w:color="auto"/>
            </w:tcBorders>
            <w:vMerge w:val="restart"/>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0.89%</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0.22%</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0.87%</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4.45 years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4.55 years</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4.45 years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Average volatility</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Performance stock options granted with market conditions are valued using a Monte Carlo simulation model in combination with a Black-Scholes option pricing model.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stock options outstanding, vested, expected to vest, and exercisable as of October 2, 2021 is summarized below:</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1,795,960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340" w:type="dxa"/>
            <w:vAlign w:val="bottom"/>
          </w:tcPr>
          <w:p>
            <w:pPr>
              <w:jc w:val="right"/>
              <w:spacing w:after="0"/>
              <w:rPr>
                <w:sz w:val="20"/>
                <w:szCs w:val="20"/>
                <w:color w:val="auto"/>
              </w:rPr>
            </w:pPr>
            <w:r>
              <w:rPr>
                <w:rFonts w:ascii="Arial" w:cs="Arial" w:eastAsia="Arial" w:hAnsi="Arial"/>
                <w:sz w:val="18"/>
                <w:szCs w:val="18"/>
                <w:color w:val="auto"/>
              </w:rPr>
              <w:t>1,602,919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699,535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October 2, 2021, that would have been received by option holders had all option holders exercised their stock options as of that date. This amount changes based on the fair market value of the Company’s common stock. The total intrinsic value of options exercised for the nine months ended October 2, 2021 and September 26, 2020 was approximately $207 thousand and $0 thousand,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Summary of RSUs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RSUs activity for the nine months ended October 2, 2021 is summarized below:</w:t>
      </w:r>
    </w:p>
    <w:p>
      <w:pPr>
        <w:spacing w:after="0" w:line="24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r>
      <w:tr>
        <w:trPr>
          <w:trHeight w:val="171"/>
        </w:trPr>
        <w:tc>
          <w:tcPr>
            <w:tcW w:w="552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2,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RSUs 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166,598</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RSUs released</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(381,036)</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RSUs forfeited</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(60,164)</w:t>
            </w:r>
          </w:p>
        </w:tc>
      </w:tr>
      <w:tr>
        <w:trPr>
          <w:trHeight w:val="223"/>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October 2, 2021</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00" w:firstLine="562"/>
        <w:spacing w:after="0" w:line="286" w:lineRule="auto"/>
        <w:rPr>
          <w:sz w:val="20"/>
          <w:szCs w:val="20"/>
          <w:color w:val="auto"/>
        </w:rPr>
      </w:pPr>
      <w:r>
        <w:rPr>
          <w:rFonts w:ascii="Arial" w:cs="Arial" w:eastAsia="Arial" w:hAnsi="Arial"/>
          <w:sz w:val="17"/>
          <w:szCs w:val="17"/>
          <w:color w:val="auto"/>
        </w:rPr>
        <w:t>During the three months ended October 2, 2021, 56,900 stock awards were modified to clarify the performance condition. The total incremental expense for these modifications resulted in an additional stock-based compensation expense of $0.4 million recorded within cost of sales and operating expenses on the condensed consolidated statement of operations for the three months ended October 2,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117" w:lineRule="exact"/>
        <w:rPr>
          <w:sz w:val="20"/>
          <w:szCs w:val="20"/>
          <w:color w:val="auto"/>
        </w:rPr>
      </w:pPr>
    </w:p>
    <w:p>
      <w:pPr>
        <w:ind w:right="100" w:firstLine="510"/>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$24 thousand and $20 thousand for the nine months ended October 2, 2021 and September 26,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third quarter of fiscal year 2021,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accounts for its uncertain tax positions in accordance with ASC 740. As of January 2, 2021, the Company had $1.2 million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 none of the unrecognized tax benefits would result in a change in the Company’s effective tax rate if recognized in future years.</w:t>
      </w:r>
    </w:p>
    <w:p>
      <w:pPr>
        <w:spacing w:after="0" w:line="12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March 27, 2020, the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These provisions are not expected to have a material effect on the Company’s consolidated financial statements. The Company obtained a PPP Loan in April 2020. The PPP Loan and interest was fully forgiven in June 2021. The Company may qualify to not include the debt forgiveness income as taxable income. Given the Company has a full valuation allowance, the impact of the PPP Loan was not material.</w:t>
      </w:r>
    </w:p>
    <w:p>
      <w:pPr>
        <w:spacing w:after="0" w:line="70"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Computation of Basic and Diluted Net Income (Loss) Per Common Share</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Basic and diluted net income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320"/>
        <w:spacing w:after="0" w:line="308" w:lineRule="auto"/>
        <w:rPr>
          <w:sz w:val="20"/>
          <w:szCs w:val="20"/>
          <w:color w:val="auto"/>
        </w:rPr>
      </w:pPr>
      <w:r>
        <w:rPr>
          <w:rFonts w:ascii="Arial" w:cs="Arial" w:eastAsia="Arial" w:hAnsi="Arial"/>
          <w:sz w:val="17"/>
          <w:szCs w:val="17"/>
          <w:color w:val="auto"/>
        </w:rPr>
        <w:t>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3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the three months ended October 2, 2021 and September 26, 2020, potential shares from stock options and RSUs totaling 1,620,634 and 1,392,132 shares, respectively, were excluded from the computation of diluted weighted average shares outstanding. For the nine months ended October 2, 2021 and September 26, 2020, potential shares from stock options and RSUs totaling 1,624,167 and 1,292,871 shares, respectively, were excluded from the computation of diluted weighted average shares outstanding.</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October 2, 2021</w:t>
            </w: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3"/>
              </w:rPr>
              <w:t>October 2, 2021</w:t>
            </w: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(1,719)</w:t>
            </w:r>
          </w:p>
        </w:tc>
        <w:tc>
          <w:tcPr>
            <w:tcW w:w="3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(2,782)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Weighted average shares of common stock (basic)</w:t>
            </w: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15,824</w:t>
            </w:r>
          </w:p>
        </w:tc>
        <w:tc>
          <w:tcPr>
            <w:tcW w:w="2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13,893</w:t>
            </w:r>
          </w:p>
        </w:tc>
        <w:tc>
          <w:tcPr>
            <w:tcW w:w="14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15,272</w:t>
            </w:r>
          </w:p>
        </w:tc>
        <w:tc>
          <w:tcPr>
            <w:tcW w:w="22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shares of common stock (diluted)</w:t>
            </w:r>
          </w:p>
        </w:tc>
        <w:tc>
          <w:tcPr>
            <w:tcW w:w="2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 net loss per share</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(0.12)</w:t>
            </w:r>
          </w:p>
        </w:tc>
        <w:tc>
          <w:tcPr>
            <w:tcW w:w="380" w:type="dxa"/>
            <w:vAlign w:val="bottom"/>
            <w:gridSpan w:val="2"/>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color w:val="auto"/>
              </w:rPr>
              <w:t>Diluted net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1"/>
                <w:szCs w:val="11"/>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3"/>
              </w:rPr>
              <w:t>October 2, 2021</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320" w:type="dxa"/>
            <w:vAlign w:val="bottom"/>
          </w:tcPr>
          <w:p>
            <w:pPr>
              <w:spacing w:after="0"/>
              <w:rPr>
                <w:sz w:val="11"/>
                <w:szCs w:val="11"/>
                <w:color w:val="auto"/>
              </w:rPr>
            </w:pPr>
          </w:p>
        </w:tc>
        <w:tc>
          <w:tcPr>
            <w:tcW w:w="12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October 2, 2021</w:t>
            </w: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08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Cyclo G6</w:t>
            </w:r>
          </w:p>
        </w:tc>
        <w:tc>
          <w:tcPr>
            <w:tcW w:w="20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Retina</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20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 revenues</w:t>
            </w:r>
          </w:p>
        </w:tc>
        <w:tc>
          <w:tcPr>
            <w:tcW w:w="20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720" w:hanging="5"/>
        <w:spacing w:after="0" w:line="259" w:lineRule="auto"/>
        <w:tabs>
          <w:tab w:leader="none" w:pos="8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service contract revenues of $387 and $302 and $1,061 and $929 recognized during the three and nine months ended October 2, 2021 and September 26, 2020, respectively. Includes $228 and $339 recognized revenue related to the exclusive distribution rights during the three and nine months ended October 2, 2021, respectively. Other also includes revenues from paid service, royalty, freight and legacy G probes.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3"/>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1"/>
                <w:szCs w:val="11"/>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3"/>
              </w:rPr>
              <w:t>October 2, 2021</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September 26,</w:t>
            </w:r>
          </w:p>
        </w:tc>
        <w:tc>
          <w:tcPr>
            <w:tcW w:w="320" w:type="dxa"/>
            <w:vAlign w:val="bottom"/>
          </w:tcPr>
          <w:p>
            <w:pPr>
              <w:spacing w:after="0"/>
              <w:rPr>
                <w:sz w:val="11"/>
                <w:szCs w:val="11"/>
                <w:color w:val="auto"/>
              </w:rPr>
            </w:pPr>
          </w:p>
        </w:tc>
        <w:tc>
          <w:tcPr>
            <w:tcW w:w="12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October 2, 2021</w:t>
            </w: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180" w:type="dxa"/>
            <w:vAlign w:val="bottom"/>
            <w:vMerge w:val="continue"/>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9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Europe</w:t>
            </w:r>
          </w:p>
        </w:tc>
        <w:tc>
          <w:tcPr>
            <w:tcW w:w="1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1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Americas</w:t>
            </w:r>
          </w:p>
        </w:tc>
        <w:tc>
          <w:tcPr>
            <w:tcW w:w="19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9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the location of end customers.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Other than the United States, the Netherlands accounted for at least 10% of the Company’s revenues during the three months ended October 2, 2021, representing 10%. Other than the United States, Japan accounted for more than 10% of the Company’s revenues during the nine months ended October 2, 2021, representing 13%. Other than the United States, no individual country accounted for more than 10% of the Company’s revenues during the three and nine months ended September 26, 2020. The United States accounted for 52.0% and 59.9% of revenues for the three months ended October 2, 2021 and September 26, 2020, respectively, and for 49.1% and 53.6% of revenues for the nine months ended October 2, 2021 and September 26, 2020, respectively.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3800"/>
        <w:spacing w:after="0" w:line="37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00" w:right="280" w:hanging="493"/>
        <w:spacing w:after="0" w:line="282"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00" w:right="100" w:hanging="493"/>
        <w:spacing w:after="0" w:line="26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7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spacing w:after="0" w:line="8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4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32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31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October 2, 2021</w:t>
            </w:r>
          </w:p>
        </w:tc>
        <w:tc>
          <w:tcPr>
            <w:tcW w:w="38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September 26, 2020</w:t>
            </w:r>
          </w:p>
        </w:tc>
        <w:tc>
          <w:tcPr>
            <w:tcW w:w="38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October 2, 2021</w:t>
            </w:r>
          </w:p>
        </w:tc>
        <w:tc>
          <w:tcPr>
            <w:tcW w:w="38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September 26, 2020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Cost of revenues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56.4%</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58.5%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43.6%</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41.5%</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43.5%</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13.5%</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9.9%</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Sales and marketing</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29.5%</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19.0%</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17.5%</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59.8%</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62.5%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(13.3%)</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Other income, net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w:t>
            </w:r>
          </w:p>
        </w:tc>
        <w:tc>
          <w:tcPr>
            <w:tcW w:w="12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w:t>
            </w: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(19.5%)</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comparisons are between the three months ended October 2, 2021 and September 26,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8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October 2, 2021</w:t>
            </w:r>
          </w:p>
        </w:tc>
        <w:tc>
          <w:tcPr>
            <w:tcW w:w="2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26, 2020</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 in %</w:t>
            </w:r>
          </w:p>
        </w:tc>
        <w:tc>
          <w:tcPr>
            <w:tcW w:w="200" w:type="dxa"/>
            <w:vAlign w:val="bottom"/>
            <w:tcBorders>
              <w:bottom w:val="single" w:sz="8" w:color="CFF0FC"/>
            </w:tcBorders>
          </w:tcPr>
          <w:p>
            <w:pPr>
              <w:spacing w:after="0"/>
              <w:rPr>
                <w:sz w:val="14"/>
                <w:szCs w:val="14"/>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Cyclo G6</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Retina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7,777</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3,348</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75.6%</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2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7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46.6%</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50.7%</w:t>
            </w: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total revenues increased by $4.5 million, or 50.7%, from $8.8 million to $13.3 million. The increase is primarily due to the increase in sales of our retina products, Cyclo G6 products and other revenues compared to the prior year when our business was severely impacted by the COVID-19 pandemic. Revenues from retina products increased 75.6%, primarily driven by an increase in sales of our Iridex Retina products in both domestic and international markets compared to the prior year when capital equipment sales were especially impacted by the COVID-19 pandemic, and an increase due to the inclusion of PASCAL product revenue from our acquisition of TMLS assets, particularly in international markets. Revenues from Cyclo G6 products increased 13.3%, driven primarily by an increase in Cyclo G6 probes sales. Other revenues, comprised of service, royalty, freight, legacy G probes and revenue related to exclusive distribution rights, increased 46.6% primarily due to an increase in service and legacy G probes revenues and the revenue related to exclusive distribution rights.</w:t>
      </w:r>
    </w:p>
    <w:p>
      <w:pPr>
        <w:spacing w:after="0" w:line="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the Delta variant. Until this subsides, we anticipate capital expenditures may continue to be deferred.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Gross profit increased by $2.1 million, or 58.2%, from $3.7 million to $5.8 million. Gross margin increased by 2.1% from 41.5% to 43.6%. The increase in gross margin was primarily attributable to a decrease in manufacturing overhead rate because of higher sales volume and a shift in product mix.</w:t>
      </w:r>
    </w:p>
    <w:p>
      <w:pPr>
        <w:spacing w:after="0" w:line="16"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Research and development (“R&amp;D”) expenses increased by $0.9 million, or 105.8%, from $0.9 million to $1.8 million. The increase in spending was primarily attributable to an increased level of spending on laser systems and inclusion of R&amp;D expense from our acquisition of the PASCAL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Sales and marketing expenses increased by $0.9 million, or 32.3%, from $3.0 million to $3.9 million. The increase was primarily attributable to higher commission expense because of higher sales and higher travel expenses compared to the prior year when the COVID-19 pandemic greatly reduced our business activity.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General and administrative expenses increased by $0.6 million, or 33.8%, from $1.7 million to $2.2 million. The increase in spending was primarily attributable to higher personnel costs and an increase in legal and consulting expenses associated with acquisition of the PASCAL Business and execution of the Exclusive Distribution Agreement with Topcon.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Other income, net was zero, compared to $0.1 million. Other income (expense), net, consisted primarily of interest income or expense and foreign currency gain or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$8 thousand for both 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comparisons are between the nine months ended October 2, 2021 and September 26,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October 2, 2021</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1"/>
              </w:rPr>
              <w:t>September 26, 2020</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Change in %</w:t>
            </w:r>
          </w:p>
        </w:tc>
        <w:tc>
          <w:tcPr>
            <w:tcW w:w="180" w:type="dxa"/>
            <w:vAlign w:val="bottom"/>
            <w:tcBorders>
              <w:bottom w:val="single" w:sz="8" w:color="CFF0FC"/>
            </w:tcBorders>
          </w:tcPr>
          <w:p>
            <w:pPr>
              <w:spacing w:after="0"/>
              <w:rPr>
                <w:sz w:val="14"/>
                <w:szCs w:val="14"/>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Cyclo G6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Retina</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10,841</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97.0%</w:t>
            </w: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29.3%</w:t>
            </w: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24,043</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14,606</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60.7%</w:t>
            </w: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total revenues increased by $14.6 million, or 60.7%, from $24.0 million to $38.6 million. The increase is primarily due to the increase in sales of our retina products, Cyclo G6 products and other revenues compared to prior year when our business was severely impacted by the COVID-19 pandemic. Revenues from retina products increased 97.0%, primarily driven by an increase in sales of our Iridex Retina products in both domestic and international markets compared to the prior year when capital equipment sales were especially impacted by the COVID-19 pandemic, and an increase due to the inclusion of PASCAL product revenue from our acquisition of TMLS assets, particularly in the international markets. Revenues from Cyclo G6 products increased 29.2%, driven primarily by an increase in Cyclo G6 probes sales. Other revenues, comprised of service, royalty, freight, legacy G probes and revenue related to exclusive distribution rights, increased 29.3% primarily due to an increase in service revenue and the revenue related to exclusive distribution rights.</w:t>
      </w:r>
    </w:p>
    <w:p>
      <w:pPr>
        <w:spacing w:after="0" w:line="8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COVID-19 and the spread of Delta variant. Until this subsides, we anticipate capital expenditures may continue to be deferred.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Gross profit increased by $6.8 million, or 68.7%, from $10.0 million to $16.8 million. Gross margin increased by 2.0% from 41.5% to 43.5%. The increase in gross margin was primarily attributable to a decrease in manufacturing overhead rate with higher sales volume and a shift in product mix.</w:t>
      </w:r>
    </w:p>
    <w:p>
      <w:pPr>
        <w:spacing w:after="0" w:line="16"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Research and development (“R&amp;D”) expenses increased by $2.2 million, or 93.1%, from $2.4 million to $4.6 million. The increase in spending was primarily attributable to an increased level of spending on laser systems and inclusion of R&amp;D expense from our acquisition of the PASCAL Business.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Sales and marketing expenses increased by $1.7 million, or 19.7%, from $8.8 million to $10.5 million. The increase was primarily attributable to higher commission expense because of higher sales and higher travel expenses compared to the prior year when the COVID-19 pandemic greatly reduced our business activity, partially offset by a decrease in marketing activities due to COVID-19 relative to the first quarter of prior year.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General and administrative expenses increased by $1.7 million, or 34.3%, from $5.1 million to $6.8 million. The increase in spending was primarily attributable to an increase in legal and consulting expenses associated with acquisition of the PASCAL Business and execution of the Exclusive Distribution Agreement with Topcon.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Other income, net was $2.4 million, compared to $0.2 million. Other income (expense), net, consisted primarily of interest income or expense and foreign currency gain or loss. We recognized a $2.5 million gain on PPP Loan forgiveness as other income during the nine months ended October 2,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recorded an income tax provision of $24 thousand and $20 thousand,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As of October 2, 2021, we had cash and cash equivalents of $25.6 million and working capital of $30.9 million compared to cash and cash equivalents of $11.6 million and working capital of $16.7 million as of January 2, 2021.</w:t>
      </w:r>
    </w:p>
    <w:p>
      <w:pPr>
        <w:spacing w:after="0" w:line="6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Net cash provided by operating activities was $10.0 million in the nine months ended October 2, 2021 compared to net cash used in operating activities of $3.0 million in the nine months ended September 26, 2020. The increase in net cash provided by operating activities, expressed in direct cash flow terms, was primarily due to the payment received for the distribution exclusivity fee and increase in cash receipts from customers, partially offset by an increase in vendor payments and increase in payroll due to higher headcount.</w:t>
      </w:r>
    </w:p>
    <w:p>
      <w:pPr>
        <w:spacing w:after="0" w:line="79"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For the nine months ended October 2, 2021, net cash used in investing activities was $5.5 million, which consisted primarily of the purchase of the PASCAL Business for $5.3 million. Net cash used in investing activities for the nine months ended September 26, 2020 was $0.1 million, which consisted of capital expenditures.</w:t>
      </w:r>
    </w:p>
    <w:p>
      <w:pPr>
        <w:spacing w:after="0" w:line="7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For the nine months ended October 2, 2021, net cash provided by financing activities was $9.4 million, primarily from the net proceeds arising from the issuance of common stock and proceeds from stock option exercises, partially offset by payroll taxes related to net share settlement of equity awards. For the nine months ended September 26, 2020, net cash provided by financing activities was $2.5 million, reflecting the proceeds from the PPP loan.</w:t>
      </w:r>
    </w:p>
    <w:p>
      <w:pPr>
        <w:spacing w:after="0" w:line="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October 2, 2021, our principal sources of liquidity consisted of cash and cash equivalents of $25.6 million. We have incurred net losses over the last several years, and as of October 2, 2021, have an accumulated deficit of approximately $59.7 million. We expect to continue to incur operating losses and negative cash flows from operations through October 1, 2022.</w:t>
      </w:r>
    </w:p>
    <w:p>
      <w:pPr>
        <w:spacing w:after="0" w:line="79"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80"/>
        <w:spacing w:after="0" w:line="311" w:lineRule="auto"/>
        <w:rPr>
          <w:sz w:val="20"/>
          <w:szCs w:val="20"/>
          <w:color w:val="auto"/>
        </w:rPr>
      </w:pPr>
      <w:r>
        <w:rPr>
          <w:rFonts w:ascii="Arial" w:cs="Arial" w:eastAsia="Arial" w:hAnsi="Arial"/>
          <w:sz w:val="16"/>
          <w:szCs w:val="16"/>
          <w:color w:val="auto"/>
        </w:rPr>
        <w:t>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October 2, 2021. Based on the foregoing, our Principal Executive Officer and our Principal Financial Officer concluded that our disclosure controls and procedures were effective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Our business operations are subject to numerous risks, factors and uncertainties outside of our control that could cause our actual results to be harmed, including risks regarding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w:t>
      </w:r>
    </w:p>
    <w:p>
      <w:pPr>
        <w:spacing w:after="0" w:line="11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and responsive measures;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partnership with Topcon;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economic downturns, public health crises or political crises.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factors</w:t>
      </w:r>
    </w:p>
    <w:p>
      <w:pPr>
        <w:spacing w:after="0" w:line="11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 with our strategic partner and distributor, Topcon;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 and production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of our laser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defects in our laser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sales volumes, results of operations, and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and independent sales forces and a network of international distributors to sell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international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products and applications and improving existing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sales and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ophthalmology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collaborative relationships used to enhance products and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product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sole source and limited source suppliers;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to our information technology system and breaches of data security;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relationships with health care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misuse of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and brand;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our customers to obtain credit or material increases in interest rates;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recalls of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factors</w:t>
      </w:r>
    </w:p>
    <w:p>
      <w:pPr>
        <w:spacing w:after="0" w:line="11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 reform measures;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healthcare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compliance with potential governmental, regulatory and other legal proceedings relative to advertising, promotion and marketing;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patents and proprietary rights related to our intellectual property;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government regulations, including the FDA’s quality system regulation and laser performance standards;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approval for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product liability claims;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trade policies;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foreign laws;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Transactional Risks</w:t>
      </w:r>
    </w:p>
    <w:p>
      <w:pPr>
        <w:spacing w:after="0" w:line="11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acquire additional companies or product lines;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divestitures of our businesses or product lines;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additional capital;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in our charter documents, Delaware law and contractual provisions that could delay or prevent an acquisition or sale of our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Risks and Risks related to Ownership of our Common Stock</w:t>
      </w:r>
    </w:p>
    <w:p>
      <w:pPr>
        <w:spacing w:after="0" w:line="11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intention not to pay dividends for the foreseeable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publication of research about us by analysts;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concentration of ownership of our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380" w:firstLine="510"/>
        <w:spacing w:after="0" w:line="320" w:lineRule="auto"/>
        <w:rPr>
          <w:sz w:val="20"/>
          <w:szCs w:val="20"/>
          <w:color w:val="auto"/>
        </w:rPr>
      </w:pPr>
      <w:r>
        <w:rPr>
          <w:rFonts w:ascii="Arial" w:cs="Arial" w:eastAsia="Arial" w:hAnsi="Arial"/>
          <w:sz w:val="15"/>
          <w:szCs w:val="15"/>
          <w:b w:val="1"/>
          <w:bCs w:val="1"/>
          <w:i w:val="1"/>
          <w:iCs w:val="1"/>
          <w:color w:val="auto"/>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business, results of operation and financial performance have been negatively impacted by the COVID-19 pandemic and related public health responses, such as shelter-in-place orders, social distancing protocols, and travel restrictions in many of the countries and regions in which we have operations or manufacturing partners. Due to these impacts and measures, we have experienced and may continue to experience significant and unpredictable reductions in the demand for our products as healthcare customers divert medical resources and priorities towards the treatment of diseases related to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addition, the American College of Surgeons, U.S. surgeon general, and medical societies are evaluating the risks of minimally invasive surgeries in the presence of infectious diseases, which we expect will continue to negatively impact the usage of our products and the number of ophthalmic treatments and procedures performed. If these recommendations continue to remain in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place and the volume of elective procedures remains low, our results of operations and financial condition will continue to be adversely affected.</w:t>
      </w:r>
    </w:p>
    <w:p>
      <w:pPr>
        <w:spacing w:after="0" w:line="129"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As a result of the COVID-19 outbreak around the world, we have adopted several measures including instructing employees to work from home while under shelter-in-place orders, slowing our manufacturing operations, and restricting non-critical business travel by our employees. In April and May of 2020,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This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58"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63"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b w:val="1"/>
          <w:bCs w:val="1"/>
          <w:i w:val="1"/>
          <w:iCs w:val="1"/>
          <w:color w:val="auto"/>
        </w:rPr>
        <w:t>We may not be successful in our strategic partnership with Topcon Corporation and the relationship may divert resources away from existing operations or expose us to liabilities, which could adversely affect our business, results of operations and financial condition.</w:t>
      </w:r>
    </w:p>
    <w:p>
      <w:pPr>
        <w:spacing w:after="0" w:line="16" w:lineRule="exact"/>
        <w:rPr>
          <w:sz w:val="20"/>
          <w:szCs w:val="20"/>
          <w:color w:val="auto"/>
        </w:rPr>
      </w:pPr>
    </w:p>
    <w:p>
      <w:pPr>
        <w:ind w:right="100" w:firstLine="510"/>
        <w:spacing w:after="0" w:line="285" w:lineRule="auto"/>
        <w:rPr>
          <w:sz w:val="20"/>
          <w:szCs w:val="20"/>
          <w:color w:val="auto"/>
        </w:rPr>
      </w:pPr>
      <w:r>
        <w:rPr>
          <w:rFonts w:ascii="Arial" w:cs="Arial" w:eastAsia="Arial" w:hAnsi="Arial"/>
          <w:sz w:val="16"/>
          <w:szCs w:val="16"/>
          <w:color w:val="auto"/>
        </w:rPr>
        <w:t>On March 2, 2021, we entered into a series of strategic transactions with Topcon Corporation (“Topcon”) Topcon America Corporation (the “Investor”) and Topcon Medical Laser Systems, Inc., a subsidiary of Topcon (the “Seller”), which included an asset purchase agreement with the Seller, pursuant to which we acquired substantially all the assets (except for cash and cash equivalents) of the Seller, including rights to the PASCAL product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w:t>
      </w:r>
    </w:p>
    <w:p>
      <w:pPr>
        <w:spacing w:after="0" w:line="2" w:lineRule="exact"/>
        <w:rPr>
          <w:sz w:val="20"/>
          <w:szCs w:val="20"/>
          <w:color w:val="auto"/>
        </w:rPr>
      </w:pPr>
    </w:p>
    <w:p>
      <w:pPr>
        <w:ind w:right="220" w:firstLine="8"/>
        <w:spacing w:after="0" w:line="260"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an investment agreement dated March 2, 2021 (the “Investment Agreement”) the Investor acquired 1,618,122 shares of the our Common Stock for an aggregate purchase price of $10 million (the “Shares”).</w:t>
      </w:r>
    </w:p>
    <w:p>
      <w:pPr>
        <w:spacing w:after="0" w:line="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Pursuant to the Asset Purchase Agreement, the transferred assets include substantially all of the Seller’s assets including the rights to the PASCAL product (the “Transferred Assets”). We assumed only those liabilities arising after the closing in connection with the Transferred Assets. In the Asset Purchase Agreement, our company and the Seller made certain customary representations and warranties and agreed to certain customary covenants. The Agreement provides that our company and the Seller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84"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w:t>
      </w:r>
    </w:p>
    <w:p>
      <w:pPr>
        <w:spacing w:after="0" w:line="58"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As a result of the Distribution Agreement, we anticipate terminating our relationships with our current distributors in certain geographies and using Topcon as our exclusive distributor. If we are unable to terminate our existing relationships with current distributors, or if Topcon is unable to generate as much revenue under the Distribution Agreement as we receive from our current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7"/>
          <w:szCs w:val="17"/>
          <w:color w:val="auto"/>
        </w:rPr>
        <w:t>distributors, our business, results of operations and financial condition could be adversely affected. If there are claims under the indemnification provisions of the Distribution Agreement for which we are liable or we are unable to terminate our relationships with our current distributors, we will need to use some or all our cash to settle those claims or make payments to Topcon pursuant to the terms of the Distribution Agreement.</w:t>
      </w:r>
    </w:p>
    <w:p>
      <w:pPr>
        <w:spacing w:after="0" w:line="5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80"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4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the past several years, we have experienced supply chain, production and training issues as we have expanded our product lines and sales volumes, and may experience similar issues in the future as we continue to grow our business. Due to the COVID-19 outbreak, release of our manufacturing process and launch of these new laser systems may be delayed or disrupted, and we may need to incur costs to replace or shift this manufacturing process elsewhere.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5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1"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occurrence of any one or more of the foregoing factors could seriously harm our business,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20 employees and two independent representative, respectively and our direct sales force in Germany consists of one employee.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8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many are no longer allowed to travel and must instead perform their services from home, which could have an impact on their ability to sell and distribute our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6"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third fiscal quarter of fiscal year 2021, our international sales were $6.4 million, or 48.0% of total revenues. We anticipate that international sales will continue to account for a significant portion of our revenues in the foreseeable future. All of our international revenues and costs for the third fiscal quarter of fiscal year 2021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6"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international regulatory agreements and requirements</w:t>
      </w:r>
      <w:r>
        <w:rPr>
          <w:rFonts w:ascii="Arial" w:cs="Arial" w:eastAsia="Arial" w:hAnsi="Arial"/>
          <w:sz w:val="18"/>
          <w:szCs w:val="18"/>
          <w:color w:val="FF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00" w:right="300" w:hanging="493"/>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40" w:lineRule="exact"/>
        <w:rPr>
          <w:sz w:val="20"/>
          <w:szCs w:val="20"/>
          <w:color w:val="auto"/>
        </w:rPr>
      </w:pPr>
    </w:p>
    <w:p>
      <w:pPr>
        <w:ind w:right="480" w:firstLine="510"/>
        <w:spacing w:after="0" w:line="279"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3"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slowed by the impact of COVID-19, and should the COVID-19 economic restrictions worsen, it could delay and disrupt our research and development processes even further.</w:t>
      </w:r>
    </w:p>
    <w:p>
      <w:pPr>
        <w:spacing w:after="0" w:line="5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spacing w:after="0" w:line="68"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right="140"/>
        <w:spacing w:after="0" w:line="286" w:lineRule="auto"/>
        <w:rPr>
          <w:sz w:val="20"/>
          <w:szCs w:val="20"/>
          <w:color w:val="auto"/>
        </w:rPr>
      </w:pPr>
      <w:r>
        <w:rPr>
          <w:rFonts w:ascii="Arial" w:cs="Arial" w:eastAsia="Arial" w:hAnsi="Arial"/>
          <w:sz w:val="17"/>
          <w:szCs w:val="17"/>
          <w:color w:val="auto"/>
        </w:rPr>
        <w:t>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3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 including the impact of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17" w:lineRule="exact"/>
        <w:rPr>
          <w:rFonts w:ascii="Arial" w:cs="Arial" w:eastAsia="Arial" w:hAnsi="Arial"/>
          <w:sz w:val="18"/>
          <w:szCs w:val="18"/>
          <w:color w:val="auto"/>
        </w:rPr>
      </w:pPr>
    </w:p>
    <w:p>
      <w:pPr>
        <w:ind w:left="1000" w:right="8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Cyclo G6 probe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4"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4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9"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right="40"/>
        <w:spacing w:after="0" w:line="269" w:lineRule="auto"/>
        <w:rPr>
          <w:sz w:val="20"/>
          <w:szCs w:val="20"/>
          <w:color w:val="auto"/>
        </w:rPr>
      </w:pPr>
      <w:r>
        <w:rPr>
          <w:rFonts w:ascii="Arial" w:cs="Arial" w:eastAsia="Arial" w:hAnsi="Arial"/>
          <w:sz w:val="17"/>
          <w:szCs w:val="17"/>
          <w:color w:val="auto"/>
        </w:rPr>
        <w:t>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Arial" w:cs="Arial" w:eastAsia="Arial" w:hAnsi="Arial"/>
          <w:sz w:val="18"/>
          <w:szCs w:val="18"/>
          <w:i w:val="1"/>
          <w:iCs w:val="1"/>
          <w:color w:val="auto"/>
        </w:rPr>
        <w:t>California v. Texas</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84"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420"/>
        <w:spacing w:after="0" w:line="277" w:lineRule="auto"/>
        <w:rPr>
          <w:sz w:val="20"/>
          <w:szCs w:val="20"/>
          <w:color w:val="auto"/>
        </w:rPr>
      </w:pPr>
      <w:r>
        <w:rPr>
          <w:rFonts w:ascii="Arial" w:cs="Arial" w:eastAsia="Arial" w:hAnsi="Arial"/>
          <w:sz w:val="18"/>
          <w:szCs w:val="18"/>
          <w:color w:val="auto"/>
        </w:rPr>
        <w:t>possible instances. Any action against us for violation of these laws, even if we successfully defend against it, could cause us to incur significant legal expenses and divert our management’s attention from the operation of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5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68" w:lineRule="exact"/>
        <w:rPr>
          <w:sz w:val="20"/>
          <w:szCs w:val="20"/>
          <w:color w:val="auto"/>
        </w:rPr>
      </w:pPr>
    </w:p>
    <w:p>
      <w:pPr>
        <w:ind w:right="700" w:firstLine="510"/>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October 2, 2021, our patent portfolio includes 59 active United States patents and 93 active foreign patents on the technologies related to our products and processes. In addition, as of October 2, 2021, we have 13 patent applications pending in the United States and 22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58"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20" w:firstLine="510"/>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6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8"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00" w:right="9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4" w:lineRule="exact"/>
        <w:rPr>
          <w:sz w:val="20"/>
          <w:szCs w:val="20"/>
          <w:color w:val="auto"/>
        </w:rPr>
      </w:pPr>
    </w:p>
    <w:p>
      <w:pPr>
        <w:ind w:right="540" w:firstLine="510"/>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We use quarterly and annual forecasts based primarily on our anticipated product orders to plan our manufacturing efforts and determine our requirements for components and materials. It is very important that we accurately predict both the demand for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line="273" w:lineRule="auto"/>
        <w:rPr>
          <w:sz w:val="20"/>
          <w:szCs w:val="20"/>
          <w:color w:val="auto"/>
        </w:rPr>
      </w:pPr>
      <w:r>
        <w:rPr>
          <w:rFonts w:ascii="Arial" w:cs="Arial" w:eastAsia="Arial" w:hAnsi="Arial"/>
          <w:sz w:val="17"/>
          <w:szCs w:val="17"/>
          <w:color w:val="auto"/>
        </w:rPr>
        <w:t>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spacing w:after="0" w:line="80"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80" w:lineRule="exact"/>
        <w:rPr>
          <w:sz w:val="20"/>
          <w:szCs w:val="20"/>
          <w:color w:val="auto"/>
        </w:rPr>
      </w:pPr>
    </w:p>
    <w:p>
      <w:pPr>
        <w:ind w:right="280" w:firstLine="514"/>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ind w:right="40"/>
        <w:spacing w:after="0" w:line="259" w:lineRule="auto"/>
        <w:rPr>
          <w:sz w:val="20"/>
          <w:szCs w:val="20"/>
          <w:color w:val="auto"/>
        </w:rPr>
      </w:pPr>
      <w:r>
        <w:rPr>
          <w:rFonts w:ascii="Arial" w:cs="Arial" w:eastAsia="Arial" w:hAnsi="Arial"/>
          <w:sz w:val="18"/>
          <w:szCs w:val="18"/>
          <w:color w:val="auto"/>
        </w:rPr>
        <w:t>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7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4"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440" w:firstLine="510"/>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ind w:firstLine="510"/>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w:t>
      </w:r>
      <w:r>
        <w:rPr>
          <w:rFonts w:ascii="Arial" w:cs="Arial" w:eastAsia="Arial" w:hAnsi="Arial"/>
          <w:sz w:val="15"/>
          <w:szCs w:val="15"/>
          <w:color w:val="auto"/>
        </w:rPr>
        <w:t>®</w:t>
      </w:r>
      <w:r>
        <w:rPr>
          <w:rFonts w:ascii="Arial" w:cs="Arial" w:eastAsia="Arial" w:hAnsi="Arial"/>
          <w:sz w:val="18"/>
          <w:szCs w:val="18"/>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spacing w:after="0" w:line="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obtained FDA clearance for an updated TruFocus LIO Premiere</w:t>
      </w:r>
      <w:r>
        <w:rPr>
          <w:rFonts w:ascii="Arial" w:cs="Arial" w:eastAsia="Arial" w:hAnsi="Arial"/>
          <w:sz w:val="15"/>
          <w:szCs w:val="15"/>
          <w:color w:val="auto"/>
        </w:rPr>
        <w:t>®</w:t>
      </w:r>
      <w:r>
        <w:rPr>
          <w:rFonts w:ascii="Arial" w:cs="Arial" w:eastAsia="Arial" w:hAnsi="Arial"/>
          <w:sz w:val="18"/>
          <w:szCs w:val="18"/>
          <w:color w:val="auto"/>
        </w:rPr>
        <w:t xml:space="preserv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8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73"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9" w:lineRule="exact"/>
        <w:rPr>
          <w:sz w:val="20"/>
          <w:szCs w:val="20"/>
          <w:color w:val="auto"/>
        </w:rPr>
      </w:pPr>
    </w:p>
    <w:p>
      <w:pPr>
        <w:ind w:right="300" w:firstLine="510"/>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76" w:lineRule="exact"/>
        <w:rPr>
          <w:sz w:val="20"/>
          <w:szCs w:val="20"/>
          <w:color w:val="auto"/>
        </w:rPr>
      </w:pPr>
    </w:p>
    <w:p>
      <w:pPr>
        <w:jc w:val="both"/>
        <w:ind w:right="580" w:firstLine="510"/>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5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40"/>
        <w:spacing w:after="0" w:line="311" w:lineRule="auto"/>
        <w:rPr>
          <w:sz w:val="20"/>
          <w:szCs w:val="20"/>
          <w:color w:val="auto"/>
        </w:rPr>
      </w:pPr>
      <w:r>
        <w:rPr>
          <w:rFonts w:ascii="Arial" w:cs="Arial" w:eastAsia="Arial" w:hAnsi="Arial"/>
          <w:sz w:val="16"/>
          <w:szCs w:val="16"/>
          <w:color w:val="auto"/>
        </w:rPr>
        <w:t>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41" w:lineRule="exact"/>
        <w:rPr>
          <w:sz w:val="20"/>
          <w:szCs w:val="20"/>
          <w:color w:val="auto"/>
        </w:rPr>
      </w:pPr>
    </w:p>
    <w:p>
      <w:pPr>
        <w:ind w:right="300" w:firstLine="510"/>
        <w:spacing w:after="0" w:line="27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third quarter of fiscal year 2021, the trading price of our common stock fluctuated from a low of $6.29 per share to a high of $7.98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Because we do not intend to pay dividends, stockholders will benefit from an investment in our common stock only if it appreciates in value.</w:t>
      </w:r>
    </w:p>
    <w:p>
      <w:pPr>
        <w:spacing w:after="0" w:line="15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Ownership of our common stock is concentrated among a few investors, which may affect the ability of a third party to acquire control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jc w:val="both"/>
        <w:ind w:right="520" w:firstLine="510"/>
        <w:spacing w:after="0" w:line="31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4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ind w:firstLine="510"/>
        <w:spacing w:after="0" w:line="275"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8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8"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8080" w:type="dxa"/>
            <w:vAlign w:val="bottom"/>
            <w:tcBorders>
              <w:top w:val="single" w:sz="8" w:color="auto"/>
              <w:bottom w:val="single" w:sz="8" w:color="0000EE"/>
            </w:tcBorders>
            <w:gridSpan w:val="3"/>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Certification of Principal Executive Officer pursuant to Securities Exchange Act Rules 13a-14(a) and 15d-14(a).</w:t>
              </w:r>
            </w:hyperlink>
          </w:p>
        </w:tc>
        <w:tc>
          <w:tcPr>
            <w:tcW w:w="212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0000EE"/>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16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0000EE"/>
                <w:w w:val="92"/>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00" w:type="dxa"/>
            <w:vAlign w:val="bottom"/>
            <w:gridSpan w:val="6"/>
          </w:tcPr>
          <w:p>
            <w:pPr>
              <w:spacing w:after="0"/>
              <w:rPr>
                <w:sz w:val="20"/>
                <w:szCs w:val="20"/>
                <w:color w:val="auto"/>
              </w:rPr>
            </w:pPr>
            <w:r>
              <w:rPr>
                <w:rFonts w:ascii="Arial" w:cs="Arial" w:eastAsia="Arial" w:hAnsi="Arial"/>
                <w:sz w:val="18"/>
                <w:szCs w:val="18"/>
                <w:color w:val="0000EE"/>
                <w:w w:val="93"/>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Act of 2002.</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gridSpan w:val="2"/>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64"/>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4"/>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5"/>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102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20" w:hanging="967"/>
        <w:spacing w:after="0"/>
        <w:tabs>
          <w:tab w:leader="none" w:pos="10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79" w:lineRule="exact"/>
        <w:rPr>
          <w:rFonts w:ascii="Arial" w:cs="Arial" w:eastAsia="Arial" w:hAnsi="Arial"/>
          <w:sz w:val="18"/>
          <w:szCs w:val="18"/>
          <w:color w:val="auto"/>
        </w:rPr>
      </w:pPr>
    </w:p>
    <w:p>
      <w:pPr>
        <w:ind w:left="500" w:right="120" w:hanging="499"/>
        <w:spacing w:after="0" w:line="259" w:lineRule="auto"/>
        <w:rPr>
          <w:rFonts w:ascii="Arial" w:cs="Arial" w:eastAsia="Arial" w:hAnsi="Arial"/>
          <w:sz w:val="18"/>
          <w:szCs w:val="18"/>
          <w:color w:val="auto"/>
        </w:rPr>
      </w:pPr>
      <w:r>
        <w:rPr>
          <w:rFonts w:ascii="Arial" w:cs="Arial" w:eastAsia="Arial" w:hAnsi="Arial"/>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IRIDEX Corporation</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12, 2021</w:t>
            </w:r>
          </w:p>
        </w:tc>
        <w:tc>
          <w:tcPr>
            <w:tcW w:w="7540" w:type="dxa"/>
            <w:vAlign w:val="bottom"/>
            <w:gridSpan w:val="4"/>
          </w:tcPr>
          <w:p>
            <w:pPr>
              <w:ind w:left="2740"/>
              <w:spacing w:after="0"/>
              <w:rPr>
                <w:sz w:val="20"/>
                <w:szCs w:val="20"/>
                <w:color w:val="auto"/>
              </w:rPr>
            </w:pPr>
            <w:r>
              <w:rPr>
                <w:rFonts w:ascii="Arial" w:cs="Arial" w:eastAsia="Arial" w:hAnsi="Arial"/>
                <w:sz w:val="18"/>
                <w:szCs w:val="18"/>
                <w:color w:val="auto"/>
              </w:rPr>
              <w:t>By:  /s/ DAVID I. BRUCE</w:t>
            </w:r>
          </w:p>
        </w:tc>
      </w:tr>
      <w:tr>
        <w:trPr>
          <w:trHeight w:val="27"/>
        </w:trPr>
        <w:tc>
          <w:tcPr>
            <w:tcW w:w="3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2"/>
        </w:trPr>
        <w:tc>
          <w:tcPr>
            <w:tcW w:w="37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80"/>
              <w:spacing w:after="0"/>
              <w:rPr>
                <w:sz w:val="20"/>
                <w:szCs w:val="20"/>
                <w:color w:val="auto"/>
              </w:rPr>
            </w:pPr>
            <w:r>
              <w:rPr>
                <w:rFonts w:ascii="Arial" w:cs="Arial" w:eastAsia="Arial" w:hAnsi="Arial"/>
                <w:sz w:val="18"/>
                <w:szCs w:val="18"/>
                <w:color w:val="auto"/>
              </w:rPr>
              <w:t>David I. Bruce</w:t>
            </w:r>
          </w:p>
        </w:tc>
      </w:tr>
      <w:tr>
        <w:trPr>
          <w:trHeight w:val="216"/>
        </w:trPr>
        <w:tc>
          <w:tcPr>
            <w:tcW w:w="3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12, 2021</w:t>
            </w:r>
          </w:p>
        </w:tc>
        <w:tc>
          <w:tcPr>
            <w:tcW w:w="7540" w:type="dxa"/>
            <w:vAlign w:val="bottom"/>
            <w:gridSpan w:val="4"/>
          </w:tcPr>
          <w:p>
            <w:pPr>
              <w:ind w:left="2760"/>
              <w:spacing w:after="0"/>
              <w:rPr>
                <w:sz w:val="20"/>
                <w:szCs w:val="20"/>
                <w:color w:val="auto"/>
              </w:rPr>
            </w:pPr>
            <w:r>
              <w:rPr>
                <w:rFonts w:ascii="Arial" w:cs="Arial" w:eastAsia="Arial" w:hAnsi="Arial"/>
                <w:sz w:val="18"/>
                <w:szCs w:val="18"/>
                <w:color w:val="auto"/>
              </w:rPr>
              <w:t>By:  /s/ FUAD AHMAD</w:t>
            </w:r>
          </w:p>
        </w:tc>
      </w:tr>
      <w:tr>
        <w:trPr>
          <w:trHeight w:val="195"/>
        </w:trPr>
        <w:tc>
          <w:tcPr>
            <w:tcW w:w="3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Name:</w:t>
            </w:r>
          </w:p>
        </w:tc>
        <w:tc>
          <w:tcPr>
            <w:tcW w:w="38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Fuad Ahmad</w:t>
            </w:r>
          </w:p>
        </w:tc>
      </w:tr>
      <w:tr>
        <w:trPr>
          <w:trHeight w:val="216"/>
        </w:trPr>
        <w:tc>
          <w:tcPr>
            <w:tcW w:w="3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r>
        <w:trPr>
          <w:trHeight w:val="675"/>
        </w:trPr>
        <w:tc>
          <w:tcPr>
            <w:tcW w:w="3700" w:type="dxa"/>
            <w:vAlign w:val="bottom"/>
          </w:tcPr>
          <w:p>
            <w:pPr>
              <w:spacing w:after="0"/>
              <w:rPr>
                <w:sz w:val="24"/>
                <w:szCs w:val="24"/>
                <w:color w:val="auto"/>
              </w:rPr>
            </w:pPr>
          </w:p>
        </w:tc>
        <w:tc>
          <w:tcPr>
            <w:tcW w:w="3120" w:type="dxa"/>
            <w:vAlign w:val="bottom"/>
          </w:tcPr>
          <w:p>
            <w:pPr>
              <w:jc w:val="right"/>
              <w:ind w:right="101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David I. Bruce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Fuad Ahmad</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8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October 2, 2021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Fuad Ahmad, pursuant to 18 U.S.C. Section 1350, as adopted pursuant to Section 906 of the Sarbanes-Oxley Act of 2002, certify that the Quarterly Report of IRIDEX Corporation on Form 10-Q for the fiscal quarter ended October 2, 2021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Fuad Ahmad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2"/>
    </w:lvl>
    <w:lvl w:ilvl="1">
      <w:lvlJc w:val="left"/>
      <w:lvlText w:val="(%2)"/>
      <w:numFmt w:val="decimal"/>
      <w:start w:val="6"/>
    </w:lvl>
    <w:lvl w:ilvl="2">
      <w:lvlJc w:val="left"/>
      <w:lvlText w:val="%3."/>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9"/>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Roman"/>
      <w:start w:val="3"/>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lvl w:ilvl="1">
      <w:lvlJc w:val="left"/>
      <w:lvlText w:val="%2"/>
      <w:numFmt w:val="decimal"/>
      <w:start w:val="104"/>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2021-11-12T11:17:50Z</dcterms:created>
  <dcterms:modified xsi:type="dcterms:W3CDTF">2021-11-12T11:17:50Z</dcterms:modified>
</cp:coreProperties>
</file>