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60103.htm"/>
      <w:bookmarkStart w:id="1" w:name="ksirix20260103"/>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ind w:left="4320" w:right="4320" w:hanging="0"/>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pBdr/>
        <w:bidi w:val="0"/>
        <w:spacing w:before="40" w:after="283"/>
        <w:ind w:left="0" w:right="0" w:hanging="490"/>
        <w:jc w:val="left"/>
        <w:rPr>
          <w:rFonts w:ascii="Times New Roman" w:hAnsi="Times New Roman"/>
          <w:b/>
          <w:color w:val="000000"/>
          <w:sz w:val="15"/>
        </w:rPr>
      </w:pPr>
      <w:r>
        <w:rPr>
          <w:rFonts w:ascii="Times New Roman" w:hAnsi="Times New Roman"/>
          <w:b/>
          <w:color w:val="000000"/>
          <w:sz w:val="15"/>
        </w:rPr>
        <w:t>(Mark One)</w:t>
      </w:r>
    </w:p>
    <w:p>
      <w:pPr>
        <w:pStyle w:val="TextBody"/>
        <w:pBdr/>
        <w:bidi w:val="0"/>
        <w:spacing w:before="40" w:after="283"/>
        <w:ind w:left="0" w:right="0" w:hanging="490"/>
        <w:jc w:val="left"/>
        <w:rPr/>
      </w:pPr>
      <w:r>
        <w:rPr>
          <w:color w:val="000000"/>
        </w:rPr>
        <w:t xml:space="preserve">☑ </w:t>
      </w:r>
      <w:r>
        <w:rPr>
          <w:rFonts w:ascii="Times New Roman" w:hAnsi="Times New Roman"/>
          <w:b/>
          <w:color w:val="000000"/>
          <w:sz w:val="15"/>
        </w:rPr>
        <w:t>ANNUAL REPORT PURSUANT TO SECTION 13 OR 15(d) OF THE SECURITIES EXCHANGE ACT OF 1934</w:t>
      </w:r>
    </w:p>
    <w:p>
      <w:pPr>
        <w:pStyle w:val="TextBody"/>
        <w:bidi w:val="0"/>
        <w:spacing w:before="40" w:after="283"/>
        <w:jc w:val="left"/>
        <w:rPr>
          <w:rFonts w:ascii="Times New Roman" w:hAnsi="Times New Roman"/>
          <w:b/>
          <w:color w:val="000000"/>
          <w:sz w:val="15"/>
        </w:rPr>
      </w:pPr>
      <w:r>
        <w:rPr>
          <w:rFonts w:ascii="Times New Roman" w:hAnsi="Times New Roman"/>
          <w:b/>
          <w:color w:val="000000"/>
          <w:sz w:val="15"/>
        </w:rPr>
        <w:t>For the fiscal year ended January 3, 2026</w:t>
      </w:r>
    </w:p>
    <w:p>
      <w:pPr>
        <w:pStyle w:val="TextBody"/>
        <w:bidi w:val="0"/>
        <w:spacing w:before="4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pBdr/>
        <w:bidi w:val="0"/>
        <w:spacing w:before="40" w:after="283"/>
        <w:ind w:left="0" w:right="0" w:hanging="490"/>
        <w:jc w:val="left"/>
        <w:rPr/>
      </w:pPr>
      <w:r>
        <w:rPr>
          <w:color w:val="000000"/>
        </w:rPr>
        <w:t xml:space="preserve">☐ </w:t>
      </w:r>
      <w:r>
        <w:rPr>
          <w:rFonts w:ascii="Times New Roman" w:hAnsi="Times New Roman"/>
          <w:b/>
          <w:color w:val="000000"/>
          <w:sz w:val="15"/>
        </w:rPr>
        <w:t>TRANSITION REPORT PURSUANT TO SECTION 13 OR 15(d) OF THE SECURITIES EXCHANGE ACT OF 1934</w:t>
      </w:r>
    </w:p>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For the transition period from to .</w:t>
      </w:r>
    </w:p>
    <w:p>
      <w:pPr>
        <w:pStyle w:val="TextBody"/>
        <w:bidi w:val="0"/>
        <w:spacing w:before="40" w:after="283"/>
        <w:jc w:val="center"/>
        <w:rPr>
          <w:rFonts w:ascii="Times New Roman" w:hAnsi="Times New Roman"/>
          <w:sz w:val="20"/>
        </w:rPr>
      </w:pPr>
      <w:r>
        <w:rPr>
          <w:rFonts w:ascii="Times New Roman" w:hAnsi="Times New Roman"/>
          <w:b/>
          <w:color w:val="000000"/>
          <w:sz w:val="15"/>
        </w:rPr>
        <w:t>Commission File Number 0-27598</w:t>
      </w:r>
      <w:r>
        <w:rPr>
          <w:rFonts w:ascii="Times New Roman" w:hAnsi="Times New Roman"/>
          <w:color w:val="000000"/>
          <w:sz w:val="20"/>
        </w:rPr>
        <w:t xml:space="preserve"> </w:t>
      </w:r>
    </w:p>
    <w:p>
      <w:pPr>
        <w:pStyle w:val="TextBody"/>
        <w:bidi w:val="0"/>
        <w:spacing w:before="120" w:after="283"/>
        <w:ind w:left="4320" w:right="4320" w:hanging="0"/>
        <w:jc w:val="center"/>
        <w:rPr>
          <w:rFonts w:ascii="Times New Roman" w:hAnsi="Times New Roman"/>
          <w:sz w:val="20"/>
        </w:rPr>
      </w:pPr>
      <w:r>
        <w:rPr>
          <w:rFonts w:ascii="Times New Roman" w:hAnsi="Times New Roman"/>
          <w:b/>
          <w:color w:val="000000"/>
          <w:sz w:val="4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6497" w:type="dxa"/>
        <w:jc w:val="left"/>
        <w:tblInd w:w="0" w:type="dxa"/>
        <w:tblLayout w:type="fixed"/>
        <w:tblCellMar>
          <w:top w:w="28" w:type="dxa"/>
          <w:left w:w="28" w:type="dxa"/>
          <w:bottom w:w="28" w:type="dxa"/>
          <w:right w:w="28" w:type="dxa"/>
        </w:tblCellMar>
      </w:tblPr>
      <w:tblGrid>
        <w:gridCol w:w="4006"/>
        <w:gridCol w:w="2491"/>
      </w:tblGrid>
      <w:tr>
        <w:trPr/>
        <w:tc>
          <w:tcPr>
            <w:tcW w:w="40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77-0210467</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 of incorporation or organization)</w:t>
            </w:r>
          </w:p>
        </w:tc>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 Identification No.)</w:t>
            </w:r>
          </w:p>
        </w:tc>
      </w:tr>
    </w:tbl>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596"/>
        <w:gridCol w:w="3541"/>
        <w:gridCol w:w="931"/>
      </w:tblGrid>
      <w:tr>
        <w:trPr/>
        <w:tc>
          <w:tcPr>
            <w:tcW w:w="259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1212 Terra Bella Avenue</w:t>
            </w:r>
          </w:p>
          <w:p>
            <w:pPr>
              <w:pStyle w:val="TableContents"/>
              <w:bidi w:val="0"/>
              <w:jc w:val="center"/>
              <w:rPr>
                <w:rFonts w:ascii="Times New Roman" w:hAnsi="Times New Roman"/>
                <w:b/>
                <w:color w:val="000000"/>
                <w:sz w:val="16"/>
              </w:rPr>
            </w:pPr>
            <w:r>
              <w:rPr>
                <w:rFonts w:ascii="Times New Roman" w:hAnsi="Times New Roman"/>
                <w:b/>
                <w:color w:val="000000"/>
                <w:sz w:val="16"/>
              </w:rPr>
              <w:t>Mountain View, CA</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3541" w:type="dxa"/>
            <w:tcBorders/>
            <w:tcMar>
              <w:top w:w="0" w:type="dxa"/>
              <w:left w:w="0" w:type="dxa"/>
              <w:bottom w:w="0" w:type="dxa"/>
              <w:right w:w="0" w:type="dxa"/>
            </w:tcMar>
            <w:vAlign w:val="center"/>
          </w:tcPr>
          <w:p>
            <w:pPr>
              <w:pStyle w:val="TableContents"/>
              <w:bidi w:val="0"/>
              <w:jc w:val="center"/>
              <w:rPr>
                <w:rFonts w:ascii="Times New Roman" w:hAnsi="Times New Roman"/>
                <w:sz w:val="15"/>
              </w:rPr>
            </w:pPr>
            <w:r>
              <w:rPr>
                <w:rFonts w:ascii="Times New Roman" w:hAnsi="Times New Roman"/>
                <w:b/>
                <w:color w:val="000000"/>
                <w:sz w:val="15"/>
              </w:rPr>
              <w:t>(650) 940-4700</w:t>
            </w:r>
            <w:r>
              <w:rPr>
                <w:rFonts w:ascii="Times New Roman" w:hAnsi="Times New Roman"/>
                <w:color w:val="000000"/>
                <w:sz w:val="15"/>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c>
          <w:tcPr>
            <w:tcW w:w="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94043</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6640" w:type="dxa"/>
        <w:jc w:val="left"/>
        <w:tblInd w:w="0" w:type="dxa"/>
        <w:tblLayout w:type="fixed"/>
        <w:tblCellMar>
          <w:top w:w="28" w:type="dxa"/>
          <w:left w:w="28" w:type="dxa"/>
          <w:bottom w:w="28" w:type="dxa"/>
          <w:right w:w="28" w:type="dxa"/>
        </w:tblCellMar>
      </w:tblPr>
      <w:tblGrid>
        <w:gridCol w:w="2671"/>
        <w:gridCol w:w="146"/>
        <w:gridCol w:w="1096"/>
        <w:gridCol w:w="146"/>
        <w:gridCol w:w="258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Name of Exchange on Which Registered</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IRIX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5"/>
              </w:rPr>
              <w:t>Nasdaq</w:t>
            </w:r>
            <w:r>
              <w:rPr>
                <w:rFonts w:ascii="Times New Roman" w:hAnsi="Times New Roman"/>
                <w:color w:val="000000"/>
                <w:sz w:val="20"/>
              </w:rPr>
              <w:t> </w:t>
            </w:r>
            <w:r>
              <w:rPr>
                <w:rFonts w:ascii="Times New Roman" w:hAnsi="Times New Roman"/>
                <w:color w:val="000000"/>
                <w:sz w:val="15"/>
              </w:rPr>
              <w:t>Capital Market</w:t>
            </w:r>
          </w:p>
        </w:tc>
      </w:tr>
    </w:tbl>
    <w:p>
      <w:pPr>
        <w:pStyle w:val="TextBody"/>
        <w:bidi w:val="0"/>
        <w:spacing w:before="40" w:after="283"/>
        <w:jc w:val="center"/>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of 1933.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Securities Exchange Act of 1934 (the “Exchange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The aggregate market value of the voting common equity held by non-affiliates of the Registrant was approximately $14,240,692</w:t>
      </w:r>
      <w:r>
        <w:rPr>
          <w:rFonts w:ascii="Times New Roman" w:hAnsi="Times New Roman"/>
          <w:color w:val="000000"/>
          <w:sz w:val="20"/>
        </w:rPr>
        <w:t xml:space="preserve"> </w:t>
      </w:r>
      <w:r>
        <w:rPr>
          <w:rFonts w:ascii="Times New Roman" w:hAnsi="Times New Roman"/>
          <w:color w:val="000000"/>
          <w:sz w:val="15"/>
        </w:rPr>
        <w:t>as of June 27, 2025, the last business day of the Registrant’s most recently completed second fiscal quarter, based on the closing price reported for such date on the Nasdaq Capital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pStyle w:val="TextBody"/>
        <w:bidi w:val="0"/>
        <w:spacing w:before="40" w:after="283"/>
        <w:ind w:left="0" w:right="0" w:firstLine="490"/>
        <w:jc w:val="left"/>
        <w:rPr>
          <w:rFonts w:ascii="Times New Roman" w:hAnsi="Times New Roman"/>
          <w:sz w:val="20"/>
        </w:rPr>
      </w:pPr>
      <w:r>
        <w:rPr>
          <w:rFonts w:ascii="Times New Roman" w:hAnsi="Times New Roman"/>
          <w:color w:val="000000"/>
          <w:sz w:val="15"/>
        </w:rPr>
        <w:t>As of March 27, 2026, Registrant had 17,307,401</w:t>
      </w:r>
      <w:r>
        <w:rPr>
          <w:rFonts w:ascii="Times New Roman" w:hAnsi="Times New Roman"/>
          <w:color w:val="000000"/>
          <w:sz w:val="20"/>
        </w:rPr>
        <w:t xml:space="preserve"> </w:t>
      </w:r>
      <w:r>
        <w:rPr>
          <w:rFonts w:ascii="Times New Roman" w:hAnsi="Times New Roman"/>
          <w:color w:val="000000"/>
          <w:sz w:val="15"/>
        </w:rPr>
        <w:t>shares of common stock outstanding.</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p>
    <w:p>
      <w:pPr>
        <w:pStyle w:val="TextBody"/>
        <w:bidi w:val="0"/>
        <w:spacing w:before="40" w:after="283"/>
        <w:ind w:left="0" w:right="0" w:firstLine="490"/>
        <w:jc w:val="left"/>
        <w:rPr>
          <w:rFonts w:ascii="Times New Roman" w:hAnsi="Times New Roman"/>
          <w:color w:val="000000"/>
          <w:sz w:val="15"/>
        </w:rPr>
      </w:pPr>
      <w:r>
        <w:rPr>
          <w:rFonts w:ascii="Times New Roman" w:hAnsi="Times New Roman"/>
          <w:color w:val="000000"/>
          <w:sz w:val="15"/>
        </w:rPr>
        <w:t>Certain parts of the Proxy Statement for the Registrant’s 2026 Annual Meeting of Stockholders (the “Proxy Statement”) are incorporated by reference into Part III of this Annual Report on Form 10-K. The 2026 Proxy Statement will be filed with the U.S. Securities and Exchange commission within 120 days after the end of the fiscal year to which this report relates.</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 </w:t>
      </w:r>
    </w:p>
    <w:p>
      <w:pPr>
        <w:pStyle w:val="TextBody"/>
        <w:bidi w:val="0"/>
        <w:jc w:val="left"/>
        <w:rPr/>
      </w:pPr>
      <w:r>
        <w:rPr/>
        <w:t>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the impact of global pandemics, outbreaks or other public health emergencies, global and geopolitical uncertainty and conflicts, global supply chain interruptions, government shutdowns, the imposition of various sanctions, trade restrictions and tariffs, inflation concerns, unexpected changes in tax law or policy, and changing interest rates on our business and results of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international sales strategy;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remain in compliance with The Nasdaq Stock Market LLC’s (“Nasdaq”) continued listing requirements;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issue additional shares of preferred stock;</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used in this Annual Report on Form 10-K, the terms “Company,” “IRIDEX,” “we,” “us” and “our” refer to IRIDEX Corporation,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78"/>
        <w:gridCol w:w="146"/>
        <w:gridCol w:w="1081"/>
      </w:tblGrid>
      <w:tr>
        <w:trPr/>
        <w:tc>
          <w:tcPr>
            <w:tcW w:w="89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89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
              <w:r>
                <w:rPr>
                  <w:rStyle w:val="InternetLink"/>
                  <w:rFonts w:ascii="Times New Roman" w:hAnsi="Times New Roman"/>
                  <w:color w:val="0000FF"/>
                  <w:sz w:val="20"/>
                  <w:u w:val="single"/>
                </w:rPr>
                <w:t>Item 1. 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1a_risk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17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_b">
              <w:r>
                <w:rPr>
                  <w:rStyle w:val="InternetLink"/>
                  <w:rFonts w:ascii="Times New Roman" w:hAnsi="Times New Roman"/>
                  <w:color w:val="0000FF"/>
                  <w:sz w:val="20"/>
                  <w:u w:val="single"/>
                </w:rPr>
                <w:t>Item 1B. 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c">
              <w:r>
                <w:rPr>
                  <w:rStyle w:val="InternetLink"/>
                  <w:rFonts w:ascii="Times New Roman" w:hAnsi="Times New Roman"/>
                  <w:color w:val="0000FF"/>
                  <w:sz w:val="20"/>
                  <w:u w:val="single"/>
                </w:rPr>
                <w:t>Item 1C. 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2">
              <w:r>
                <w:rPr>
                  <w:rStyle w:val="InternetLink"/>
                  <w:rFonts w:ascii="Times New Roman" w:hAnsi="Times New Roman"/>
                  <w:color w:val="0000FF"/>
                  <w:sz w:val="20"/>
                  <w:u w:val="single"/>
                </w:rPr>
                <w:t>Item 2. 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3">
              <w:r>
                <w:rPr>
                  <w:rStyle w:val="InternetLink"/>
                  <w:rFonts w:ascii="Times New Roman" w:hAnsi="Times New Roman"/>
                  <w:color w:val="0000FF"/>
                  <w:sz w:val="20"/>
                  <w:u w:val="single"/>
                </w:rPr>
                <w:t>Item 3.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4">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5">
              <w:r>
                <w:rPr>
                  <w:rStyle w:val="InternetLink"/>
                  <w:rFonts w:ascii="Times New Roman" w:hAnsi="Times New Roman"/>
                  <w:color w:val="0000FF"/>
                  <w:sz w:val="20"/>
                  <w:u w:val="single"/>
                </w:rPr>
                <w:t>Item 5. Market for Registrant’s Common Equity and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6">
              <w:r>
                <w:rPr>
                  <w:rStyle w:val="InternetLink"/>
                  <w:rFonts w:ascii="Times New Roman" w:hAnsi="Times New Roman"/>
                  <w:color w:val="0000FF"/>
                  <w:sz w:val="20"/>
                  <w:u w:val="single"/>
                </w:rPr>
                <w:t>Item 6. [Reserved]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7">
              <w:r>
                <w:rPr>
                  <w:rStyle w:val="InternetLink"/>
                  <w:rFonts w:ascii="Times New Roman" w:hAnsi="Times New Roman"/>
                  <w:color w:val="0000FF"/>
                  <w:sz w:val="20"/>
                  <w:u w:val="single"/>
                </w:rPr>
                <w:t>Item 7.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40</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7a_quantitative_qualitative_disclos">
              <w:r>
                <w:rPr>
                  <w:rStyle w:val="InternetLink"/>
                  <w:rFonts w:ascii="Times New Roman" w:hAnsi="Times New Roman"/>
                  <w:color w:val="0000FF"/>
                  <w:sz w:val="20"/>
                  <w:u w:val="single"/>
                </w:rPr>
                <w:t>Item 7A.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8_financial_statements_supplementar">
              <w:r>
                <w:rPr>
                  <w:rStyle w:val="InternetLink"/>
                  <w:rFonts w:ascii="Times New Roman" w:hAnsi="Times New Roman"/>
                  <w:color w:val="0000FF"/>
                  <w:sz w:val="20"/>
                  <w:u w:val="single"/>
                </w:rPr>
                <w:t>Item 8. 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
              <w:r>
                <w:rPr>
                  <w:rStyle w:val="InternetLink"/>
                  <w:rFonts w:ascii="Times New Roman" w:hAnsi="Times New Roman"/>
                  <w:color w:val="0000FF"/>
                  <w:sz w:val="20"/>
                  <w:u w:val="single"/>
                </w:rPr>
                <w:t>Item 9. 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a">
              <w:r>
                <w:rPr>
                  <w:rStyle w:val="InternetLink"/>
                  <w:rFonts w:ascii="Times New Roman" w:hAnsi="Times New Roman"/>
                  <w:color w:val="0000FF"/>
                  <w:sz w:val="20"/>
                  <w:u w:val="single"/>
                </w:rPr>
                <w:t>Item 9A.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77</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b">
              <w:r>
                <w:rPr>
                  <w:rStyle w:val="InternetLink"/>
                  <w:rFonts w:ascii="Times New Roman" w:hAnsi="Times New Roman"/>
                  <w:color w:val="0000FF"/>
                  <w:sz w:val="20"/>
                  <w:u w:val="single"/>
                </w:rPr>
                <w:t>Item 9B.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78</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9c_disclosure_regarding_foreign_jur">
              <w:r>
                <w:rPr>
                  <w:rStyle w:val="InternetLink"/>
                  <w:rFonts w:ascii="Times New Roman" w:hAnsi="Times New Roman"/>
                  <w:color w:val="0000FF"/>
                  <w:sz w:val="20"/>
                  <w:u w:val="single"/>
                </w:rPr>
                <w:t>Item 9C. 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0">
              <w:r>
                <w:rPr>
                  <w:rStyle w:val="InternetLink"/>
                  <w:rFonts w:ascii="Times New Roman" w:hAnsi="Times New Roman"/>
                  <w:color w:val="0000FF"/>
                  <w:sz w:val="20"/>
                  <w:u w:val="single"/>
                </w:rPr>
                <w:t>Item 10. 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1">
              <w:r>
                <w:rPr>
                  <w:rStyle w:val="InternetLink"/>
                  <w:rFonts w:ascii="Times New Roman" w:hAnsi="Times New Roman"/>
                  <w:color w:val="0000FF"/>
                  <w:sz w:val="20"/>
                  <w:u w:val="single"/>
                </w:rPr>
                <w:t>Item 11.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2">
              <w:r>
                <w:rPr>
                  <w:rStyle w:val="InternetLink"/>
                  <w:rFonts w:ascii="Times New Roman" w:hAnsi="Times New Roman"/>
                  <w:color w:val="0000FF"/>
                  <w:sz w:val="20"/>
                  <w:u w:val="single"/>
                </w:rPr>
                <w:t>Item 12. 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3">
              <w:r>
                <w:rPr>
                  <w:rStyle w:val="InternetLink"/>
                  <w:rFonts w:ascii="Times New Roman" w:hAnsi="Times New Roman"/>
                  <w:color w:val="0000FF"/>
                  <w:sz w:val="20"/>
                  <w:u w:val="single"/>
                </w:rPr>
                <w:t>Item 13. 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79</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4">
              <w:r>
                <w:rPr>
                  <w:rStyle w:val="InternetLink"/>
                  <w:rFonts w:ascii="Times New Roman" w:hAnsi="Times New Roman"/>
                  <w:color w:val="0000FF"/>
                  <w:sz w:val="20"/>
                  <w:u w:val="single"/>
                </w:rPr>
                <w:t>Item 14. 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80</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hyperlink w:anchor="item_15">
              <w:r>
                <w:rPr>
                  <w:rStyle w:val="InternetLink"/>
                  <w:rFonts w:ascii="Times New Roman" w:hAnsi="Times New Roman"/>
                  <w:color w:val="0000FF"/>
                  <w:sz w:val="20"/>
                  <w:u w:val="single"/>
                </w:rPr>
                <w:t>Item 15. Exhibits and Financial Statement Schedules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80</w:t>
            </w:r>
          </w:p>
        </w:tc>
      </w:tr>
      <w:tr>
        <w:trPr/>
        <w:tc>
          <w:tcPr>
            <w:tcW w:w="8978" w:type="dxa"/>
            <w:tcBorders/>
            <w:tcMar>
              <w:top w:w="0" w:type="dxa"/>
              <w:left w:w="0" w:type="dxa"/>
              <w:bottom w:w="0" w:type="dxa"/>
              <w:right w:w="0" w:type="dxa"/>
            </w:tcMar>
            <w:vAlign w:val="center"/>
          </w:tcPr>
          <w:p>
            <w:pPr>
              <w:pStyle w:val="TableContents"/>
              <w:pBdr/>
              <w:bidi w:val="0"/>
              <w:spacing w:before="0" w:after="283"/>
              <w:ind w:left="475" w:right="0" w:hanging="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3" w:name="item_1"/>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Corporation (“IRIDEX”)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proprietary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 and G-Probe Illuminate®.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Surgical Retina </w:t>
      </w:r>
      <w:r>
        <w:rPr>
          <w:color w:val="000000"/>
        </w:rPr>
        <w:t xml:space="preserve">– </w:t>
      </w:r>
      <w:r>
        <w:rPr>
          <w:rFonts w:ascii="Times New Roman" w:hAnsi="Times New Roman"/>
          <w:color w:val="000000"/>
          <w:sz w:val="20"/>
        </w:rPr>
        <w:t>Probes used in our surgical 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fiscal year ended January 3, 2026 (“fiscal year 2025”) and the fiscal year ended December 28, 2024 (“fiscal year 2024”), our products were sold in the United States and Germany predominantly through a direct sales force and internationally (aside from Germany, Italy, UK (Glaucoma), India, and other smaller markets) primarily through Topcon Corporation (“Topcon”) and other independent distributors. Total revenues in fiscal years 2025 and 2024 were $52.7 million and $48.7 million, respectively. We generated net losses of $4.4 million and $8.9 million in fiscal years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inflation concerns, tariffs and retaliatory responses, trade wars, conflicts in the Middle East, lapse in government funding, healthcare reform initiatives, heightened interest rates as a result of government actions to combat inflation, and uncertainty in the global banking and financial services market, as well as other geopolitical developments and uncertainty, have impacted and may continue to impact business spending and the economy as a whole. As a result, we have seen customers extend purchase decision cycles that have impacted and may continue to impact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 titled “Risk Factors” in Item 1A of Part I. For more information on the impact of macroeconomic conditions, on our business, see the section titled “Management’s Discussion and Analysis of Financial Condition and Results of Operation” in Item 7 of Part II.</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Market Opportunity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global ophthalmology market is experiencing significant growth, driven by the aging population and the increasing prevalence of chronic diseases. Our focus is on the glaucoma and retinal disease markets, which represent a significant portion of this market.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Glaucoma is a progressive, chronic disease most recognized by high intraocular pressure (“IOP”). Elevated IOP is often caused by too much aqueous humor (the thin watery fluid that fills the front of the eye) being produced, not enough being drained, or a combination of both. It is a leading cause of blindness worldwide, with an estimated 80-100 million candidates for treatment. Although reducing IOP is the only proven treatment, the traditional options of pharmaceuticals and incisional surgery have significant shortcomings, such as poor patient compliance, financial burden, impact to lifestyle, and side-effects more invasive than MicroPulse laser treatments. These limitations create an unmet medical need in the management of glaucoma patients. Given these limitations, there is a growing interest in alternative approaches that can provide comparable or better outcomes with a better safety profile at a lower cost. Our company is poised to address this unmet medical need and capture a significant market opportunity.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Medical Retina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medical retina business is focused on providing innovative and effective treatments for retinal disorders, which if left untreated, can lead to vision loss and blindness. It is estimated that 463 million people worldwide had diabetes in 2019, and this number is expected to increase to 578 million by 2030 and as many as 700 million by 2045, according to the International Diabetes Federation. Previous clinical studies have shown that 28.5% of diabetic patients may develop some form of diabetic retinopathy.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some retinal disorders, traditional treatments such as standard continuous wave (“CW”) laser photocoagulation and injected pharmaceuticals have significant shortcomings. CW laser photocoagulation can stabilize vision over the long term but can also result in varying degrees of vision loss, while pharmaceuticals require repeated painful injections that may cause side effects including an increased risk of eye infections. Furthermore, the repeated injections are demanding on physicians, patients, and the healthcare system in terms of time and cost. As a result, there is a growing interest in alternative approaches that can provide comparable or better patient outcomes with an improved safety profile at lower costs. Our medical retina business is dedicated to developing and providing such innovative and effective treatments for retinal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traditional laser technology was developed to perform laser photocoagulation by using a mode that delivers continuously-on laser light, which is referred to as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solutions build on traditional CW laser and innovative technology, such as: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MicroPulse technology chops a CW laser beam into an envelope of repetitive short “ON” pulses with longer “OFF” periods that allow tissue to cool between pulses. CW laser is analogous to holding your hand still over a candle flame; your hand will quickly burn. MicroPulse is analogous to moving your hand quickly in and out of the candle flame; your hand has time to cool between passes to avoid burning. MicroPulse has been clinically proven to be effective and safe for the treatment of glaucoma and retinal diseases, with a growing body of clinical evidence published over the past decade. We have developed applications of our MicroPulse technology for the treatment of eye diseases, providing a range of options for physicians and patients seeking improved outcomes with reduced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Endpoint Management technology allows clinicians to titrate the laser to subvisible, tissue-sparing levels using a proprietary energy delivery algorithm for the treatment of retinal diseases and glaucoma. By use of this formula, heat induced changes in the retina are controlled as Endpoint Management simultaneously modulates the laser power and duration providing linear control over a non-linear process.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pattern scanning laser technology efficiently delivers large laser patterns reducing treatment time and patient discomfort during treatment. PASCAL represents an improvement in ophthalmic treatment technology and is committed to helping physicians deliver effective results for patients. Ophthalmologists choose PASCAL because of its speed and ease of use.</w:t>
      </w:r>
    </w:p>
    <w:p>
      <w:pPr>
        <w:pStyle w:val="TextBody"/>
        <w:bidi w:val="0"/>
        <w:spacing w:before="120" w:after="283"/>
        <w:jc w:val="left"/>
        <w:rPr>
          <w:rFonts w:ascii="Times New Roman" w:hAnsi="Times New Roman"/>
          <w:sz w:val="20"/>
        </w:rPr>
      </w:pPr>
      <w:r>
        <w:rPr>
          <w:rFonts w:ascii="Times New Roman" w:hAnsi="Times New Roman"/>
          <w:b/>
          <w:color w:val="000000"/>
          <w:sz w:val="20"/>
        </w:rPr>
        <w:t>Market Opportunities with Iridex's Technology Solutions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69"/>
        <w:gridCol w:w="1556"/>
        <w:gridCol w:w="7180"/>
      </w:tblGrid>
      <w:tr>
        <w:trPr/>
        <w:tc>
          <w:tcPr>
            <w:tcW w:w="146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7180"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46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ind w:left="0" w:right="0" w:firstLine="115"/>
              <w:jc w:val="left"/>
              <w:rPr>
                <w:rFonts w:ascii="Times New Roman" w:hAnsi="Times New Roman"/>
                <w:b/>
                <w:color w:val="000000"/>
                <w:sz w:val="20"/>
              </w:rPr>
            </w:pPr>
            <w:r>
              <w:rPr>
                <w:rFonts w:ascii="Times New Roman" w:hAnsi="Times New Roman"/>
                <w:b/>
                <w:color w:val="000000"/>
                <w:sz w:val="20"/>
              </w:rPr>
              <w:t>Market Opportunities</w:t>
            </w:r>
          </w:p>
        </w:tc>
        <w:tc>
          <w:tcPr>
            <w:tcW w:w="15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b/>
                <w:color w:val="000000"/>
                <w:sz w:val="20"/>
              </w:rPr>
            </w:pPr>
            <w:r>
              <w:rPr>
                <w:rFonts w:ascii="Times New Roman" w:hAnsi="Times New Roman"/>
                <w:b/>
                <w:color w:val="000000"/>
                <w:sz w:val="20"/>
              </w:rPr>
              <w:t>Iridex Technologies</w:t>
            </w:r>
          </w:p>
        </w:tc>
        <w:tc>
          <w:tcPr>
            <w:tcW w:w="71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b/>
                <w:color w:val="000000"/>
                <w:sz w:val="20"/>
              </w:rPr>
            </w:pPr>
            <w:r>
              <w:rPr>
                <w:rFonts w:ascii="Times New Roman" w:hAnsi="Times New Roman"/>
                <w:b/>
                <w:color w:val="000000"/>
                <w:sz w:val="20"/>
              </w:rPr>
              <w:t>Laser Systems, Delivery Devices &amp; Overview</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 xml:space="preserve">MicroPulse </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Increase outflow via uveoscleral pathway</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Treats glaucoma using our Cyclo G6 laser system and MicroPulse P3 delivery device. </w:t>
            </w:r>
            <w:r>
              <w:rPr>
                <w:rFonts w:ascii="Times New Roman" w:hAnsi="Times New Roman"/>
                <w:color w:val="000000"/>
                <w:sz w:val="20"/>
              </w:rPr>
              <w:t>MicroPulse P3 is Iridex’s proprietary, single-use, disposable probe. It delivers MicroPulse laser transsclerally (through the white of the eye) to target the ciliary body inside the eye. The ciliary body controls various ocular functions including aqueous humor production, and it helps facilitate the reduction of aqueous humor via outflow channels.</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Transscleral laser therapy (“TLT”) using MicroPulse technology is a non-incisional treatment that is believed to reduce IOP primarily through uveoscleral outflow. Numerous peer-reviewed published clinical studies have demonstrated MicroPulse TLT as a safe and clinically effective treatment to lower patients’ IOP and reduce the number of topical eye drops and oral medications across a wide spectrum of glaucoma types and disease severity. Glaucoma specialists and comprehensive ophthalmologists incorporate MicroPulse TLT prior to, concurrent with, and after other surgical therapies. It’s a repeatable procedure which doesn’t impact the patient’s quality of life nor does it inhibit future interventions.</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 xml:space="preserve">MicroPulse </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Increase outflow via trabecular meshwork</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sz w:val="20"/>
              </w:rPr>
            </w:pPr>
            <w:r>
              <w:rPr>
                <w:rFonts w:ascii="Times New Roman" w:hAnsi="Times New Roman"/>
                <w:b/>
                <w:color w:val="000000"/>
                <w:sz w:val="20"/>
              </w:rPr>
              <w:t>Treats glaucoma with our IQ laser systems.</w:t>
            </w:r>
            <w:r>
              <w:rPr>
                <w:rFonts w:ascii="Times New Roman" w:hAnsi="Times New Roman"/>
                <w:color w:val="000000"/>
                <w:sz w:val="20"/>
              </w:rPr>
              <w:t> MicroPulse laser is delivered through a mechanical and optical delivery device and targets the trabecular meshwork. Physicians describe the technique as MicroPulse Laser Trabeculoplasty (“MLT”). It is believed that the MLT procedure improves trabecular meshwork outflow and thus lowers IOP. We believe that the MLT procedure provides incremental clinical benefits relative to other laser trabeculoplasty procedures such as scanning laser trabeculoplasty (“SLT”).</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PSLT</w:t>
              <w:br/>
              <w:br/>
              <w:t>Increase outflow via trabecular meshwork</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sz w:val="20"/>
              </w:rPr>
            </w:pPr>
            <w:r>
              <w:rPr>
                <w:rFonts w:ascii="Times New Roman" w:hAnsi="Times New Roman"/>
                <w:b/>
                <w:color w:val="000000"/>
                <w:sz w:val="20"/>
              </w:rPr>
              <w:t>Pattern Scanning Laser Trabeculoplasty (</w:t>
            </w:r>
            <w:r>
              <w:rPr>
                <w:rFonts w:ascii="Times New Roman" w:hAnsi="Times New Roman"/>
                <w:color w:val="000000"/>
                <w:sz w:val="20"/>
              </w:rPr>
              <w:t>“</w:t>
            </w:r>
            <w:r>
              <w:rPr>
                <w:rFonts w:ascii="Times New Roman" w:hAnsi="Times New Roman"/>
                <w:b/>
                <w:color w:val="000000"/>
                <w:sz w:val="20"/>
              </w:rPr>
              <w:t>PSLT</w:t>
            </w:r>
            <w:r>
              <w:rPr>
                <w:rFonts w:ascii="Times New Roman" w:hAnsi="Times New Roman"/>
                <w:color w:val="000000"/>
                <w:sz w:val="20"/>
              </w:rPr>
              <w:t>”</w:t>
            </w:r>
            <w:r>
              <w:rPr>
                <w:rFonts w:ascii="Times New Roman" w:hAnsi="Times New Roman"/>
                <w:b/>
                <w:color w:val="000000"/>
                <w:sz w:val="20"/>
              </w:rPr>
              <w:t xml:space="preserve">) </w:t>
            </w:r>
            <w:r>
              <w:rPr>
                <w:rFonts w:ascii="Times New Roman" w:hAnsi="Times New Roman"/>
                <w:color w:val="000000"/>
                <w:sz w:val="20"/>
              </w:rPr>
              <w:t>is a computer-guided therapy that provides precise placement of laser patterns along the trabecular meshwork, independent of the visibility of lesions. PSLT provides rapid, precise, and subvisible computer-guided treatment with exact placement of the patterns for the lowering of IOP.</w:t>
            </w:r>
          </w:p>
        </w:tc>
      </w:tr>
      <w:tr>
        <w:trPr/>
        <w:tc>
          <w:tcPr>
            <w:tcW w:w="146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Glaucoma</w:t>
            </w:r>
          </w:p>
        </w:tc>
        <w:tc>
          <w:tcPr>
            <w:tcW w:w="1556"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CW</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Reduce inflow</w:t>
            </w:r>
          </w:p>
        </w:tc>
        <w:tc>
          <w:tcPr>
            <w:tcW w:w="7180"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Treats glaucoma using our Cyclo G6 laser system and G-Probe or G-Probe Illuminate delivery device. </w:t>
            </w:r>
            <w:r>
              <w:rPr>
                <w:rFonts w:ascii="Times New Roman" w:hAnsi="Times New Roman"/>
                <w:color w:val="000000"/>
                <w:sz w:val="20"/>
              </w:rPr>
              <w:t>The Iridex G-Probe is a fiber-optic laser delivery device used to selectively ablate ciliary processes in patients who require treatment for refractory glaucoma. Delivery is transscleral (through the white of the eye). The G-Probe Illuminate provides built-in transillumination for optimized probe placement and therapeutic outcome.</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7"/>
        <w:gridCol w:w="1447"/>
        <w:gridCol w:w="7731"/>
      </w:tblGrid>
      <w:tr>
        <w:trPr/>
        <w:tc>
          <w:tcPr>
            <w:tcW w:w="10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7731"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Medical Retina</w:t>
            </w:r>
          </w:p>
        </w:tc>
        <w:tc>
          <w:tcPr>
            <w:tcW w:w="144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MicroPulse</w:t>
            </w:r>
          </w:p>
        </w:tc>
        <w:tc>
          <w:tcPr>
            <w:tcW w:w="77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ind w:left="0" w:right="0" w:firstLine="115"/>
              <w:jc w:val="left"/>
              <w:rPr>
                <w:rFonts w:ascii="Times New Roman" w:hAnsi="Times New Roman"/>
                <w:sz w:val="20"/>
              </w:rPr>
            </w:pPr>
            <w:r>
              <w:rPr>
                <w:rFonts w:ascii="Times New Roman" w:hAnsi="Times New Roman"/>
                <w:b/>
                <w:color w:val="000000"/>
                <w:sz w:val="20"/>
              </w:rPr>
              <w:t xml:space="preserve">Treats Retinal Disorders with our IQ laser system. </w:t>
            </w:r>
            <w:r>
              <w:rPr>
                <w:rFonts w:ascii="Times New Roman" w:hAnsi="Times New Roman"/>
                <w:color w:val="000000"/>
                <w:sz w:val="20"/>
              </w:rPr>
              <w:t>MicroPulse laser is administered through our TxCell Pattern Scanning Slit Lamp Adapter or standard slit lamp adapter. Studies have demonstrated that for the treatment of retinal disorders, MicroPulse laser therapy has several competitive advantages over alternate therapies with respect to long term vision stability, visual function, and cost effectiveness.</w:t>
            </w:r>
          </w:p>
        </w:tc>
      </w:tr>
      <w:tr>
        <w:trPr/>
        <w:tc>
          <w:tcPr>
            <w:tcW w:w="102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Medical Retina</w:t>
            </w:r>
          </w:p>
        </w:tc>
        <w:tc>
          <w:tcPr>
            <w:tcW w:w="1447"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 xml:space="preserve">CW </w:t>
            </w:r>
          </w:p>
          <w:p>
            <w:pPr>
              <w:pStyle w:val="TableContents"/>
              <w:bidi w:val="0"/>
              <w:spacing w:before="120" w:after="283"/>
              <w:ind w:left="115" w:right="0" w:firstLine="115"/>
              <w:jc w:val="left"/>
              <w:rPr>
                <w:rFonts w:ascii="Times New Roman" w:hAnsi="Times New Roman"/>
                <w:color w:val="000000"/>
                <w:sz w:val="20"/>
              </w:rPr>
            </w:pPr>
            <w:r>
              <w:rPr>
                <w:rFonts w:ascii="Times New Roman" w:hAnsi="Times New Roman"/>
                <w:color w:val="000000"/>
                <w:sz w:val="20"/>
              </w:rPr>
              <w:t>Endpoint Management</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MicroPulse</w:t>
            </w:r>
          </w:p>
        </w:tc>
        <w:tc>
          <w:tcPr>
            <w:tcW w:w="7731"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Treats Retinal Disorders with our PASCAL laser system. </w:t>
            </w:r>
            <w:r>
              <w:rPr>
                <w:rFonts w:ascii="Times New Roman" w:hAnsi="Times New Roman"/>
                <w:color w:val="000000"/>
                <w:sz w:val="20"/>
              </w:rPr>
              <w:t>PASCAL efficiently delivers large laser patterns reducing treatment time and patient discomfort during treatment of retinal disorders using standard CW laser therapy or sub-threshold Endpoint Management.</w:t>
            </w:r>
          </w:p>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MicroPulse laser is administered through the integrated slit lamp on our PASCAL laser system. Studies have demonstrated that for the treatment of retinal disorders, MicroPulse laser therapy has several competitive advantages over alternate therapies with respect to long term vision stability, visual function, and cost effectiveness.</w:t>
            </w:r>
          </w:p>
        </w:tc>
      </w:tr>
      <w:tr>
        <w:trPr/>
        <w:tc>
          <w:tcPr>
            <w:tcW w:w="102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Surgical Retina</w:t>
            </w:r>
          </w:p>
        </w:tc>
        <w:tc>
          <w:tcPr>
            <w:tcW w:w="1447"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CW</w:t>
            </w:r>
          </w:p>
        </w:tc>
        <w:tc>
          <w:tcPr>
            <w:tcW w:w="7731" w:type="dxa"/>
            <w:tcBorders>
              <w:bottom w:val="single" w:sz="4" w:space="0" w:color="000000"/>
              <w:right w:val="single" w:sz="4" w:space="0" w:color="000000"/>
            </w:tcBorders>
            <w:tcMar>
              <w:top w:w="0" w:type="dxa"/>
              <w:left w:w="0" w:type="dxa"/>
            </w:tcMar>
            <w:vAlign w:val="center"/>
          </w:tcPr>
          <w:p>
            <w:pPr>
              <w:pStyle w:val="TableContents"/>
              <w:bidi w:val="0"/>
              <w:spacing w:before="120" w:after="283"/>
              <w:ind w:left="115" w:right="0" w:firstLine="115"/>
              <w:jc w:val="left"/>
              <w:rPr>
                <w:rFonts w:ascii="Times New Roman" w:hAnsi="Times New Roman"/>
                <w:sz w:val="20"/>
              </w:rPr>
            </w:pPr>
            <w:r>
              <w:rPr>
                <w:rFonts w:ascii="Times New Roman" w:hAnsi="Times New Roman"/>
                <w:b/>
                <w:color w:val="000000"/>
                <w:sz w:val="20"/>
              </w:rPr>
              <w:t xml:space="preserve">The Iridex EndoProbe is used with our IQ and OcuLight lasers. </w:t>
            </w:r>
            <w:r>
              <w:rPr>
                <w:rFonts w:ascii="Times New Roman" w:hAnsi="Times New Roman"/>
                <w:color w:val="000000"/>
                <w:sz w:val="20"/>
              </w:rPr>
              <w:t>EndoProbe handpieces are used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global leader in developing, manufacturing, marketing, selling and servicing innovative medical laser systems and associated instrumentation for the treatment of sight-threatening eye diseases, we aim to capitalize on our strong brand and distribution network within the ophthalmology market. Our goal is to promote MicroPulse as a credible treatment option for glaucoma and retinal diseases, while also commercializing a range of products that enhance therapeutic outcomes for patients, streamline physician efficiency, reduce costs, and provide economic benefits to healthcare systems. We are committed to pursuing a variety of organic initiatives, with potential acquisitions serving as a complementary strategy and complementary inorganic initiatives. Through the successful execution of this strategy, we anticipate driving profitable growth and creating increased shareholder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achieve these goals, we are pursuing several organic initiatives that we anticipate will be supplemented from time to time by acquisitions, such as the asset acquisition completed with one of the subsidiaries for Topcon. We anticipate that the successful execution of this strategy will lead to profitable growth and enhanced shareholder value.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are designed with a system approach in mind, with each system consisting of a laser console that generates laser energy, along with a range of interchangeable delivery devices or single-use disposable probes for use in specific clinical applications. This enables our customers to invest in a basic laser system and expand their therapeutic capabilities over time, with the ability to add additional delivery devices or disposable probes as needed. Our product line currently comprises three main categories: (1) laser consoles, (2) delivery devices, which are optical-mechanical products that can be mounted to ophthalmologists' diagnostic equipment and transmit the laser energy, and (3) single-use disposable probes, which deliver the laser energy to targeted regions inside the eye.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Laser Consoles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laser consoles, which are identified below, incorporate the economic and technical benefits of solid state and semiconductor laser technology to design small, portable and reliable lasers.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Glaucoma:</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Cyclo G6</w:t>
      </w:r>
      <w:r>
        <w:rPr>
          <w:rFonts w:ascii="Times New Roman" w:hAnsi="Times New Roman"/>
          <w:color w:val="000000"/>
          <w:sz w:val="20"/>
        </w:rPr>
        <w:t xml:space="preserve"> </w:t>
      </w:r>
      <w:r>
        <w:rPr>
          <w:rFonts w:ascii="Times New Roman" w:hAnsi="Times New Roman"/>
          <w:i/>
          <w:color w:val="000000"/>
          <w:sz w:val="20"/>
        </w:rPr>
        <w:t>Laser System.</w:t>
      </w:r>
      <w:r>
        <w:rPr>
          <w:rFonts w:ascii="Times New Roman" w:hAnsi="Times New Roman"/>
          <w:color w:val="000000"/>
          <w:sz w:val="20"/>
        </w:rPr>
        <w:t xml:space="preserve"> The Cyclo G6 is an infrared (810nm) laser designed to treat patients diagnosed with a range of glaucoma disease states. The Cyclo G6 system is sold with a family of probes that are disposable, including our patented MicroPulse P3 probe that utilizes our MicroPulse technology, our G-Probe and G-Probe Illuminate.</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PASCAL Laser System</w:t>
      </w:r>
      <w:r>
        <w:rPr>
          <w:rFonts w:ascii="Times New Roman" w:hAnsi="Times New Roman"/>
          <w:color w:val="000000"/>
          <w:sz w:val="20"/>
        </w:rPr>
        <w:t>. The Iridex PASCAL is available in either 532 nm or 577 nm wavelengths. Pattern Scanning Laser Trabeculoplasty (“PSLT”) is a tissue-sparing laser treatment for reducing IOP in open angle glaucoma. PSLT provides a rapid, precise, and minimally traumatic computer-guided treatment that applies a sequence of patterns onto the trabecular meshwork.</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Medical Retina:</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 xml:space="preserve">IQ Laser System. </w:t>
      </w:r>
      <w:r>
        <w:rPr>
          <w:rFonts w:ascii="Times New Roman" w:hAnsi="Times New Roman"/>
          <w:color w:val="000000"/>
          <w:sz w:val="20"/>
        </w:rPr>
        <w:t>Our IQ laser systems offer our MicroPulse technology but also have CW capabilities. Our IQ 577 delivers visible yellow (577nm) laser light and our IQ 532 delivers visible green (532nm) laser light. Our IQ laser systems are typically used with our TxCell</w:t>
      </w:r>
      <w:r>
        <w:rPr>
          <w:rFonts w:ascii="Times New Roman" w:hAnsi="Times New Roman"/>
          <w:color w:val="000000"/>
          <w:sz w:val="13"/>
        </w:rPr>
        <w:t>®</w:t>
      </w:r>
      <w:r>
        <w:rPr>
          <w:rFonts w:ascii="Times New Roman" w:hAnsi="Times New Roman"/>
          <w:color w:val="000000"/>
          <w:sz w:val="20"/>
        </w:rPr>
        <w:t xml:space="preserve"> Scanning Laser Delivery System and our Slit Lamp Adapters when used to treat retinal disorders with MicroPulse.</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PASCAL Laser System</w:t>
      </w:r>
      <w:r>
        <w:rPr>
          <w:rFonts w:ascii="Times New Roman" w:hAnsi="Times New Roman"/>
          <w:color w:val="000000"/>
          <w:sz w:val="20"/>
        </w:rPr>
        <w:t>. The Iridex PASCAL is available in either 532 nm or 577 nm wavelengths. It offers the ultimate combination of pattern scanning, Endpoint Management Technology, PSLT and MicroPulse Technology, providing physicians with expanded treatment capabilities in a smaller, ergonomically-optimized laser platform.</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 xml:space="preserve">Surgical Retina: </w:t>
      </w:r>
      <w:r>
        <w:rPr>
          <w:rFonts w:ascii="Times New Roman" w:hAnsi="Times New Roman"/>
          <w:color w:val="000000"/>
          <w:sz w:val="20"/>
        </w:rPr>
        <w:t>Our OcuLight TX laser delivers visible green (532nm) laser light. Our OcuLight SLx laser delivers infrared (810 nm) laser light.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Delivery Devices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delivery devices are typically used with our IQ and OcuLight laser systems: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 xml:space="preserve">Slit Lamp Adapter (“SLA”). </w:t>
      </w:r>
      <w:r>
        <w:rPr>
          <w:rFonts w:ascii="Times New Roman" w:hAnsi="Times New Roman"/>
          <w:color w:val="000000"/>
          <w:sz w:val="20"/>
        </w:rPr>
        <w:t xml:space="preserve">These adapters allow the physician to utilize a standard slit lamp in both diagnosis and treatment procedures. Physicians can install an SLA in a few minutes and convert standard diagnostic slit lamps into a therapeutic laser delivery system. SLAs are used in treatment procedures for both retinal diseases and glaucoma.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 xml:space="preserve">Laser Indirect Ophthalmoscope (“LIO”). </w:t>
      </w:r>
      <w:r>
        <w:rPr>
          <w:rFonts w:ascii="Times New Roman" w:hAnsi="Times New Roman"/>
          <w:color w:val="000000"/>
          <w:sz w:val="20"/>
        </w:rPr>
        <w:t xml:space="preserve">The indirect ophthalmoscope is designed to be worn on the physician’s head and to be used in procedures to treat peripheral retinal disorders, particularly in infants or adults requiring treatment in the supine position. This product can be used in both diagnosis and treatment procedures at the point-of-care.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delivery device is typically used with our IQ laser systems: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TxCell Scanning Laser Delivery System (“TxCell”)</w:t>
      </w:r>
      <w:r>
        <w:rPr>
          <w:rFonts w:ascii="Times New Roman" w:hAnsi="Times New Roman"/>
          <w:color w:val="000000"/>
          <w:sz w:val="20"/>
        </w:rPr>
        <w:t>. TxCell allows the physician to perform multi-spot pattern scanning for efficient delivery of MicroPulse laser therapy.</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 xml:space="preserve">MicroPulse P3 Probe. </w:t>
      </w:r>
      <w:r>
        <w:rPr>
          <w:rFonts w:ascii="Times New Roman" w:hAnsi="Times New Roman"/>
          <w:color w:val="000000"/>
          <w:sz w:val="20"/>
        </w:rPr>
        <w:t>The MicroPulse P3 delivery device is used with our Cyclo G6 laser system to perform transscleral laser therapy (“TLT”) using MicroPulse technology. The MicroPulse P3 probe is used on an anesthetized eye in the doctor’s office or in the operating rooms.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Single-use Disposable Probes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G-Probe</w:t>
      </w:r>
      <w:r>
        <w:rPr>
          <w:rFonts w:ascii="Times New Roman" w:hAnsi="Times New Roman"/>
          <w:i/>
          <w:color w:val="000000"/>
          <w:sz w:val="13"/>
        </w:rPr>
        <w:t>®</w:t>
      </w:r>
      <w:r>
        <w:rPr>
          <w:rFonts w:ascii="Times New Roman" w:hAnsi="Times New Roman"/>
          <w:i/>
          <w:color w:val="000000"/>
          <w:sz w:val="20"/>
        </w:rPr>
        <w:t xml:space="preserve">. </w:t>
      </w:r>
      <w:r>
        <w:rPr>
          <w:rFonts w:ascii="Times New Roman" w:hAnsi="Times New Roman"/>
          <w:color w:val="000000"/>
          <w:sz w:val="20"/>
        </w:rPr>
        <w:t>The G-Probe is used in procedures to treat uncontrolled glaucoma, typically described as “refractory glaucoma.” The G-Probe delivers CW laser to the ciliary body and is believed to stop the production of aqueous humor, thus reducing IOP. The G-Probe’s non-invasive procedure takes approximately ten minutes and is performed on an anesthetized eye in the doctor’s office or operating rooms. The G-Probe is a sterile disposable product.</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G-Probe Illuminate</w:t>
      </w:r>
      <w:r>
        <w:rPr>
          <w:rFonts w:ascii="Times New Roman" w:hAnsi="Times New Roman"/>
          <w:i/>
          <w:color w:val="000000"/>
          <w:sz w:val="13"/>
        </w:rPr>
        <w:t>®</w:t>
      </w:r>
      <w:r>
        <w:rPr>
          <w:rFonts w:ascii="Times New Roman" w:hAnsi="Times New Roman"/>
          <w:i/>
          <w:color w:val="000000"/>
          <w:sz w:val="20"/>
        </w:rPr>
        <w:t xml:space="preserve">. </w:t>
      </w:r>
      <w:r>
        <w:rPr>
          <w:rFonts w:ascii="Times New Roman" w:hAnsi="Times New Roman"/>
          <w:color w:val="000000"/>
          <w:sz w:val="20"/>
        </w:rPr>
        <w:t>The G-Probe Illuminate is also used in procedures to treat refractory glaucoma. The proprietary illumination feature allows for more targeted treatment and may offer additional clinical benefits. The G-Probe Illuminate is a sterile disposable product.</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EndoProbe</w:t>
      </w:r>
      <w:r>
        <w:rPr>
          <w:rFonts w:ascii="Times New Roman" w:hAnsi="Times New Roman"/>
          <w:i/>
          <w:color w:val="000000"/>
          <w:sz w:val="13"/>
        </w:rPr>
        <w:t xml:space="preserve">® </w:t>
      </w:r>
      <w:r>
        <w:rPr>
          <w:rFonts w:ascii="Times New Roman" w:hAnsi="Times New Roman"/>
          <w:i/>
          <w:color w:val="000000"/>
          <w:sz w:val="20"/>
        </w:rPr>
        <w:t xml:space="preserve">Handpieces. </w:t>
      </w:r>
      <w:r>
        <w:rPr>
          <w:rFonts w:ascii="Times New Roman" w:hAnsi="Times New Roman"/>
          <w:color w:val="000000"/>
          <w:sz w:val="20"/>
        </w:rPr>
        <w:t>Our EndoProbe family of products are used for endophotocoagulation, a retinal treatment procedure performed in the hospital operating rooms or ambulatory surgical centers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close working relationships with researchers, clinicians and practicing physicians around the world who provide new ideas, evaluate prototypes and assist us in validating new products and new applications before they are introduced.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internal research and development (“R&amp;D”) activities are performed by a current team of 11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of the necessary disciplines from product inception through customer acceptance. This process facilitates reliable new product innovations and a consistent pipeline of innovative products for our customers.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it is important to make a substantial contribution to improving clinical outcomes. For instance, we have made substantial investments in improving the treatment of serious eye diseases such as glaucoma and retinal disease. The objectives of developing new treatments and applications are to expand the patient population, to better and more economically treat diseases, to treat patients earlier in the treatment regimen and to reduce the side effects of treatment.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consider clinical projects to be a component of our R&amp;D efforts and they may or may not result in additional commercial opportunities.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Customers and Customer Support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products are currently sold for use by ophthalmologists specializing in the treatment of eye disease in retinal, glaucoma and pediatric eye diseases. Other customers include research and teaching hospitals, government installations, surgical centers, hospitals, veterinary practices, and office clinics (outpatient).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 telephone service line to service our customers. If a problem with a depot serviceable product cannot be diagnosed and resolved by telephone, a service loaner is shipped promptly (based on the availability) to domestic customers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warranty or service contract or by the most rapid delivery means available to our international customers, and the problem unit is returned to us. The small size and rugged design of our products allows for economical shipment and response to customers worldwide.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sales and marketing strategies for fiscal year 2025 focused on the United States and Germany, primarily through our direct sales team, while we worked with independent distributors for international sales (excluding Germany). We have 18 direct sales personnel in the United States, one in Germany, and four team members dedicated to managing our distribution sales efforts globally. Sales operations are managed from our headquarters in Mountain View, California. In fiscal 2025, international sales accounted for 55.9% of our revenues. We anticipate that our international sales will remain a significant contributor to our revenue in the future. Our customers are located in Europe, Asia, the Pacific Rim, the Middle East, Africa, Canada and Latin America. We usually enter into exclusive distribution agreements with our international distributors that can be terminated by either party with a 90-day notice.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International sales may be affected by factors such as currency fluctuations, governmental controls, export technology restrictions, political instability, conflicts, trade restrictions, tariff changes, tax treaties, and economic conditions in each country where we sell our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support our sales activities, we utilize various marketing programs including our in-person business site visits, website, social media, email marketing, clinical education, trade shows, public relations, market research, key opinion leader collaborations, and advertising in trade and academic journals and newsletters. We also participate in annual trade shows worldwide, which allow us to showcase our products to existing and potential customers.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marketing programs help us collaborate with customers to identify new product ideas and applications that address their needs, enabling us to develop new products, identify new applications for our products, and validate new procedures using our products. Our customers include key opinion leaders in ophthalmology, often heads of departments or university professors. We believe that these experts are critical to the successful introduction of new products and their subsequent acceptance in the market. The validation and commercialization of our new products depend on early adoption by these opinion leaders.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Affairs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established a Clinical Affairs group to facilitate clinical research opportunities, provide specialized ophthalmic surgeon training and credentialing for our proprietary MicroPulse products, develop strong relationships with prominent key opinion leaders, and ensure the accuracy and consistency of our messaging to the market. We recognize that a robust research program and professional training for our customers are essential in driving the application of our technology for widespread and consistent use, and our Clinical Affairs group is dedicated to achieving these goals.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manufacture of our visible light and infrared laser consoles and the related delivery devices is a highly complex and precise process. Completed systems must pass quality control testing and quality assurance review before shipment. Our manufacturing activities consist of specifying, sourcing, assembling and testing of components and certain subassemblies for assembly into our final product. Currently we have a total of 14 employees engaged in manufacturing activities for these products.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2004, we were certified to ISO 13485:2003, which replaced ISO 9001/EN46001 as the international standard for quality systems as applied to medical devices. In 2018, we were certified to ISO 13485:2016, which superseded the 2003 version of the standard. In 2008, we received FDA 510(k) clearance on our family of Iridex IQ laser systems. This clearance covers the Iridex IQ 532 Laser and IQ 577 Laser and their associated delivery devices to deliver laser energy in either CW or MicroPulse mode. In January 2015, we received FDA 510(k) clearance for Cyclo G6 Laser. In 2022 and 2023 we received FDA 510(k) clearance for the Iridex Pascal (532 nm and 577 nm models) laser system and the Iridex Laser (532 nm and 577 nm models). These laser systems are intended for a wide range of specific applications in the medical specialties of ophthalmology.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our medical device products demonstrating compliance to the European Medical Device Directives and/or Medical Device Regulations and all applicable standards. In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Directives. In May 2021, the Medical Device Directives were superseded by the Medical Device Regulations (“MDR”), with a transition period for our Class IIa and IIb products lasting in effect until May 2024, which allowed Iridex to market these products during the transition period. In February 2023, the European Parliament voted to extend the MDR transition deadline from 2024 to 2028 for our products. The Company will obtain certification of compliance to the Medical Device Regulations before the transition deadline. Currently, Iridex products marketed within the EU are CE marked, and Iridex has obtained formal authorization to continue marketing product that was CE marked under MDD through the end of 2028. Continued certification is based on successful review of quality management systems by our European Registrar (Notified Body) during its periodic audits. Any loss of certification could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ophthalmic laser competitors are Alcon Inc., Bausch Health Companies Inc., Carl Zeiss Meditec AG, Lumenis Ltd., Nidek Co. Ltd., Lumibird, ARC GmbH, Meridian, OD-OS GmbH and Norlase. We also compete with alternative glaucoma surgical device companies such as Alcon, Inc., Novartis AG, Allergan, Inc., Glaukos Corporation, Sight Sciences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Patents and Proprietary Rights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that we make. We file patent applications to protect technology, inventions and improvements that are significant to the development of our business. Our patent portfolio includes 67 active United States patents and 94 active international patents on the technologies related to our products and processes. In addition, we have 12 patent applications pending in the United States and 19 international patent applications pending. Our patent applications may not be approved.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 We can provide no assurance that our employees and consultants will abide by the provisions of these agreements and that our confidential information and trade secrets will be protected.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United States, medical devices are classified into one of three classes - Class I, II or III. The class to which the device is assigned determines, among other things, the type of pre-marketing submission/application required for the FDA clearance to market. If the device is classified as Class I or II, and if it is not exempt, a 510(k) pre-market notification will be required for marketing. Under the FDA regulations, Class I devices are mostly subject to general controls (for example, labeling, pre-market notification and adherence to Quality System Regulations (“QSRs”) requirements). Class II devices typically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and/or non-clinical studies of the device’s safety and effectiveness be performed. Further, the FDA issued a final rule in February 2024 replacing the QSR with Quality Management System Regulation (“QMSR”), which went into effect on February 2, 2026, replacing the former Quality System Regulation, and incorporates by reference the quality management system requirements of ISO 13485:2016.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United States, 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one and six months from the date of submission to grant a 510(k) clearance, but it may take longer.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effectiveness of the device or that constitute a major change to the intended use of the device will require new 510(k) submissions.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obtained 510(k) clearances for all of our medical device products marketed within the United States that require 510(k) clearance.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QMSR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QMSR and other regulations, and these inspections may include the manufacturing facilities of our subcontractors.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Labeling and promotion activities are subject to scrutiny by the FDA and in certain instances, by the Federal Trade Commission. The FDA actively enforces regulations prohibiting marketing of products for unapproved uses. We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June 2024, in </w:t>
      </w:r>
      <w:r>
        <w:rPr>
          <w:rFonts w:ascii="Times New Roman" w:hAnsi="Times New Roman"/>
          <w:i/>
          <w:color w:val="000000"/>
          <w:sz w:val="20"/>
        </w:rPr>
        <w:t>Loper Bright Enterprises v. Raimondo</w:t>
      </w:r>
      <w:r>
        <w:rPr>
          <w:rFonts w:ascii="Times New Roman" w:hAnsi="Times New Roman"/>
          <w:color w:val="000000"/>
          <w:sz w:val="20"/>
        </w:rPr>
        <w:t>, the U.S. Supreme Court overruled the Chevron doctrine, which gives deference to regulatory agencies’ statutory interpretations in litigation against federal government agencies where the law is ambiguous. This landmark Supreme Court decision may invite more stakeholders to bring lawsuits against the FDA and other federal agencies to challenge longstanding decisions and policies, which could lead to uncertainties in the industry. Further, changes in the leadership of the FDA and other federal agencies under the current presidential administration, including measures implemented by the Department of Government Efficiency, may lead to new policies and changes in the regulations that can increase our compliance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are a number of major regulatory changes occurring in the regulation of medical devices in the European Union. The revision of the quality system regulation (ISO 13485:2016) has been released that substantially increased the requirements for a medical device quality system. The Medical Device Regulation (“MDR”) has replaced the medical device directives (93/42/EEC), and it substantially changed the way that medical devices are brought to market in the European Union and how they maintain compliance throughout the product’s life cycle. Additionally, the new revision 4 of the clinical evaluation report guidance document (MEDDEV 2.7.1) and the Medical Device Coordination Group (MDCG) guidance document “Regulation (EU) 2017/745: Clinical evidence needed for medical devices previously CE marked under Directives 93/42/EEC or 90/385/EEC” (MDCG 2020-6) severely restricts the use of substantial equivalence for new products, resulting in the need for formal clinical trial data for many new products. These changes will increase the cost for compliance and for product development, and they lengthen product introduction cycles. Failure to comply with these changes can have an adverse effect on our ability to release new products in a timely manner.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an MDL prior to adoption of this requirement are required to transition to the MDSAP. To address this Canadian medical device licensing requirement, we transferred our MDLs to Salient Medical Solutions (“Salient”), our distributor and regulatory manufacturer in Canada and an entity that is certified under MDSAP. We continue to fabricate the devices as Salient’s contract manufacturer. Salient has the licenses necessary to import and sell our products into Canada.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Changes in existing requirements or adoption of new requirements or policies by the FDA or other foreign and domestic regulatory authorities could arise during the development or marketing of our markets and could adversely affect our ability to comply with regulatory requirements. Failure to comply with regulatory requirements could have a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Reimbursement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regulations or in private third-party payers’ policies may limit or eliminate reimbursement for procedures employing our products, which could have a material adverse effect on our business, results of operations and financial condition.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Backlog and Seasonality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employees are our human capital and they are our greatest strength and most valuable resource. As of January 3, 2026, we had a total of 93 full-time equivalent employees engaged in our ongoing operations, including 42 in operations (including manufacturing, quality, logistics and service), 26 in sales and marketing, 11 in research and development and 14 in finance and administration. We also employ, from time to time, a number of temporary and part-time employees as well as consultants on a contract basis. As of January 3, 2026, we had 15 such persons serving in such roles.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employees are not represented by a collective bargaining organization, and we have never experienced a work stoppage or strike. We consider our employee relations to be good.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X feed (https://x.com/Iridex). Any information on, or that can be accessed through, our website and social media channels is not part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4" w:name="item1a_riskfactors"/>
      <w:bookmarkEnd w:id="4"/>
      <w:r>
        <w:rPr>
          <w:rFonts w:ascii="Times New Roman" w:hAnsi="Times New Roman"/>
          <w:b/>
          <w:color w:val="000000"/>
          <w:sz w:val="20"/>
        </w:rPr>
        <w:t>Item 1A. Risk Factors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 Factor Summary</w:t>
      </w:r>
    </w:p>
    <w:p>
      <w:pPr>
        <w:pStyle w:val="TextBody"/>
        <w:bidi w:val="0"/>
        <w:spacing w:before="120" w:after="283"/>
        <w:ind w:left="0" w:right="0" w:firstLine="490"/>
        <w:jc w:val="left"/>
        <w:rPr>
          <w:rFonts w:ascii="Times New Roman" w:hAnsi="Times New Roman"/>
          <w:color w:val="000000"/>
          <w:sz w:val="21"/>
        </w:rPr>
      </w:pPr>
      <w:r>
        <w:rPr>
          <w:rFonts w:ascii="Times New Roman" w:hAnsi="Times New Roman"/>
          <w:color w:val="000000"/>
          <w:sz w:val="21"/>
        </w:rPr>
        <w:t>Our business operations are subject to numerous risks, factors and uncertainties outside of our control that could cause our actual results to be harmed, including risks regarding the following:</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economic factors</w:t>
      </w:r>
      <w:r>
        <w:rPr>
          <w:rFonts w:ascii="Times New Roman" w:hAnsi="Times New Roman"/>
          <w:color w:val="000000"/>
          <w:sz w:val="20"/>
        </w:rPr>
        <w:t xml:space="preserv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those resulting from ongoing geopolitical uncertainty and tensions, uncertainty in tax law or policy, tariffs, trade wars, inflationary pressures and changing interest rates, a reduction in business confidence and activity, global pandemics and responsive measures and the Russia-Ukraine conflict and the conflicts in the Middle East.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relationship with our strategic partner and main distributor Topcon;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our laser systems;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defects in our laser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and independent sales forces and a network of international distributors to sell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international sales and third-party manufacturers;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products and applications and improving existing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sales and operating results;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ophthalmology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collaborative relationships used to enhance products and applications;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sales volumes, results of operations, and revenues;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meeting product demand;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sole source and limited source suppliers;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catastrophic loss;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information technology system and breaches of data security;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relationships with health-care providers;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misuse of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and brand;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customers to obtain credit or material increases in interest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of our products;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growth effectively.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and legal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measures and changes in third-party coverage and reimbursement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healthcare laws;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potential governmental, regulatory and other legal proceedings relative to advertising, promotion and marketing;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and proprietary rights related to our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government regulations, including the FDA’s quality management system regulation and laser performance standards;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for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product liability claims;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trade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laws;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foreign laws, including changes to those laws;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and transactional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of our businesses or product lines;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charter documents, Delaware law and contractual provisions that could delay or prevent an acquisition or sale of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 risks and risks related to ownership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 not to pay dividends for the foreseeable future;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publication of research about us by analysts;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concentration of ownership of our common stock; and</w:t>
      </w:r>
    </w:p>
    <w:p>
      <w:pPr>
        <w:pStyle w:val="TextBody"/>
        <w:bidi w:val="0"/>
        <w:spacing w:before="120" w:after="120"/>
        <w:ind w:left="490"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maintain an effective system of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Factors That May Affect Future Results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other information contained in this Annual Report on Form 10-K,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Relating to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The current macroeconomic conditions have disrupted, and may continue to disrupt our operations, including our ability to manufacture and supply products and perform research and development activities, and our customers’ usage of our products,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adversely impact our business operations, financial performance, results of operations and financial position.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results of operation and financial performance have experienced and may continue to be adversely affected by unpredictable interruptions in the supply of raw materials, components and sub-assemblies necessary to manufacture and assemble our products and reductions in the demand for our products if healthcare customers divert medical resources and priorities towards the treatment of pandemics, the spread of disease or any future outbreak of disease. Upon such events, our customers may delay, cancel or redirect planned capital expenditures in order to focus resources on any future outbreak of disease, global pandemic or in response to macroeconomic disruption related to any future global pandemic. In the near term, a future outbreak of disease or global pandemic may negatively impact the use of our products and the number of ophthalmic treatments and procedures performed. If the volume of elective procedures declines, our results of operations and financial condition will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volatile macroeconomic environment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in response to any future health emergencies or outbreaks (including restrictions on travel and transport and workforce pressures); the impact of other public health emergencies or any future outbreak of disease and actions taken in response on global and regional economies, travel, and economic activity; the availability of federal, state, local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non-U.S. funding programs; general economic uncertainty in key global markets and financial market volatility; global economic conditions and levels of economic growth; and the pace of recovery when the current volatile macroeconomic conditions subside. These events may pose disruptions to our business, which could adversely impact our business, financial condition and results of operations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Servicing our existing and future debt, including the Initial Novel Note and any Novel Growth Notes we issue in the future, may require a significant amount of cash, and we may not have sufficient cash flow from our business to pay our indebtedness.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19, 2025, pursuant to that certain Note Purchase Agreement, dated March 19, 2025 (the “Novel Note Purchase Agreement”), by and between us and Novel Inspiration International Co., Ltd. (“Novel”), we issued to Novel an initial convertible promissory note in an aggregate principal amount of $4,000,000 (the “Initial Novel Note”) and granted to Novel the right to purchase additional convertible promissory notes (the “Novel Growth Notes” and, together with the Initial Novel Note, the “Novel Notes”) in an aggregate principal amount of up to $10,000,000. Our ability to make scheduled payments of the principal of, or to refinance our indebtedness, including the Initial Novel Note and any Novel Growth Notes issued in the future, depends on our future performance, which is subject to economic, financial, competitive, and other factors beyond our control. We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may not have the ability to raise the funds necessary to settle repayments of the Initial Novel Note or any Novel Growth Notes issued in the future in cash, and our future debt may contain limitations on our ability to make cash payments as required by the Novel Notes.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Following the occurrence of a Change of Control (as defined in the Initial Novel Note), the outstanding principal amount of the Initial Novel Note, plus all accrued and unpaid interest, in each case that has not otherwise been converted into equity, shall be due and payable immediately prior to the consummation of such Change of Control. However, we may not have enough available cash or be able to obtain financing at the time we are required to make such payments on the Initial Novel Note or at its maturity. In addition, any cash payments would reduce the amount of cash available for our operations, which could have a material and adverse effect on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ability to make cash payments in connection with the Initial Novel Note and any Novel Growth Notes issued in the future may be limited by law, regulatory authority or agreements governing our future indebtedness. Our failure to make payments as required by the Initial Novel Note and any Novel Notes issued in the future would constitute a default under such Novel Notes. A default under the Novel Notes could also lead to a default under agreements governing any of our existing or future indebtedness. Moreover, the occurrence of a Change of Control under the Initial Novel Note or any Novel Growth Notes issued in the future could constitute an event of default under other agreements. If the payment of the related indebtedness were to be accelerated after any applicable notice or grace periods, we may not have sufficient funds to repay the indebtedness. Any failure by us to repay indebtedness, in each case, when required to do so pursuant to the terms of the Novel Notes, could have a material adverse effect on our business, financial condition, and results of operations.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Novel has conversion rights under the Novel Notes, the exercise of which, in addition to the issuance of common stock in connection with the payment of interest under the Novel Notes, could result in the issuance of a substantial amount of our common stock at a significant discount to the trading price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Initial Novel Note is convertible at Novel’s option into shares of our Series B Preferred Stock at an initial conversion price of $10.00, subject to any adjustments set forth in the Initial Novel Note, In addition, any Novel Growth Notes issued in the future will be convertible at Novel’s option into shares of our common stock at a conversion price equal to the lesser of (x) a maximum conversion price as set forth in the Novel Note Purchase Agreement and (y) the greater of (A) the average closing price of the our common stock for each trading day after the applicable closing date in the calendar quarter immediately preceding the date of such conversion date and (B) a price floor of $0.21. The Novel Growth Notes will be issuable in three installments, with one-third of the aggregate principal amount being issuable on each of the first, second and third anniversaries of March 19, 2025 and ending 90 days following such anniversary, subject to the terms and conditions in the Novel Note Purchase Agreement. We have not issued any Growth Notes, but may do so in the future.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Initial Novel Note bears interest at a rate of 12% per annum. Interest on the Initial Novel Note will be payable quarterly on the first business day of each calendar quarter, beginning on July 1, 2025, in a number of shares of our common stock equal to (x) the accrued and unpaid interest due on the applicable interest payment date divided by (y) the greater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closing price of our common stock for each trading day after March 19, 2025 in the calendar quarter immediately preceding such interest payment date and (B) a price floor of $0.21. Any Novel Growth Notes issued in the future will bear interest at a rate of 12% per annum. Interest on such Novel Growth Notes will be payable quarterly on the first business day of each calendar quarter in a number of shares of our common stock equal to (x) the accrued and unpaid interest due on the applicable interest payment date divided by (y) the lesser of (A) a maximum average price as set forth in the Novel Note Purchase Agreement and (B) the greater of (1) the average closing price of our common stock for each trading day after the applicable closing date in the calendar quarter immediately preceding such interest payment date and (2) a price floor of $0.21.</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we experience an Event of Default under the Initial Novel Note or any Novel Growth Notes issued in the future, we may experience a material adverse effect on our liquidity, financial condition, and results of operations.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Some of our laser systems are complex in design and may contain defects that are not detected until deployed by our customers, which could increase our costs and reduce our revenues.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costs of product returns and warranty expenses;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brand reputation;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attract new customers or achieve market acceptance;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development and engineering resources;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actions by our customers.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occurrence of any one or more of the foregoing factors could seriously harm our business, financial condition and results of operations.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18 employees, and our direct sales force in Germany consists of one employee. Our international independent distributors are managed by a team of four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We depend on international sales for a significant portion of our operating results.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derive, and expect to continue to derive, a large portion of our revenues from international sales. For the fiscal year 2025, our international sales were $29.5 million, or 55.9% of total revenues. We anticipate that international sales will continue to account for a significant portion of our revenues in the foreseeable future. All of our international revenues and costs for the fiscal year 2025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our international channel of distributors;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accounts receivable collection periods;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recessions in global economies and availability of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international regulatory agreements and requirements;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sanctions and embargoes;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and trade wars;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international conflicts, terrorist and military activity, civil unrest;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certification requirements, including continued ability to use the “CE” mark in Europe, and other local regulatory requirements, pending MDR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local product preferences and product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foreign medical reimbursement and coverage policies and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or limited protections of intellectual property rights in jurisdictions outside the United States;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adverse tax consequences, such as those related to changes in tax laws or tax rates or their interpretations;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adverse and changing foreign governmental laws and regulations;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costs and risks of non-compliance with multiple regulatory regimes governing the production, marketing, sale and use of our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one or more of these factors stated above could have a material adverse effect on our business, financial condition or results of operations. </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Our operating results may be adversely affected by uncertainty regarding healthcare reform measures and changes in third-party coverage and reimbursement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are typically purchased by doctors, clinics, hospitals and other users, which bill various third-party payers, such as governmental programs and private insurance plans, for the health-care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health-care industry and third-party coverage reimbursement, including the Affordable Care Act, has been subject to judicial challenge, and may be subject to similar challenges from time to time in the future (such as the </w:t>
      </w:r>
      <w:r>
        <w:rPr>
          <w:rFonts w:ascii="Times New Roman" w:hAnsi="Times New Roman"/>
          <w:i/>
          <w:color w:val="000000"/>
          <w:sz w:val="20"/>
        </w:rPr>
        <w:t xml:space="preserve">California v. Texas </w:t>
      </w:r>
      <w:r>
        <w:rPr>
          <w:rFonts w:ascii="Times New Roman" w:hAnsi="Times New Roman"/>
          <w:color w:val="000000"/>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12"/>
        <w:ind w:left="0" w:right="0" w:firstLine="490"/>
        <w:jc w:val="left"/>
        <w:rPr>
          <w:rFonts w:ascii="Times New Roman" w:hAnsi="Times New Roman"/>
          <w:color w:val="000000"/>
          <w:sz w:val="20"/>
        </w:rPr>
      </w:pPr>
      <w:r>
        <w:rPr>
          <w:rFonts w:ascii="Times New Roman" w:hAnsi="Times New Roman"/>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08" w:after="283"/>
        <w:ind w:left="0" w:right="0" w:firstLine="490"/>
        <w:jc w:val="left"/>
        <w:rPr>
          <w:rFonts w:ascii="Times New Roman" w:hAnsi="Times New Roman"/>
          <w:b/>
          <w:i/>
          <w:color w:val="000000"/>
          <w:sz w:val="20"/>
        </w:rPr>
      </w:pPr>
      <w:r>
        <w:rPr>
          <w:rFonts w:ascii="Times New Roman" w:hAnsi="Times New Roman"/>
          <w:b/>
          <w:i/>
          <w:color w:val="000000"/>
          <w:sz w:val="20"/>
        </w:rPr>
        <w:t>If we fail to develop and successfully introduce new products and applications or fail to improve our existing products, our business prospects and operating results may suffer.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Should the current macroeconomic conditions worsen, it could delay and disrupt our research and development processes even further.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We are exposed to risks associated with worldwide economic slowdowns and related uncertainties.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subject to macroeconomic fluctuations in the U.S. and worldwide economy including inflationary pressures that may cause the cost of manufacturing our products or servicing our products to increase. Concerns about consumer and investor confidence, trade wars, tariffs, volatile corporate profits and reduced capital spending, geopolitical tensions and conflicts, terrorist and military activity, civil unrest, pandemic-related illness and other factors could reduce customer orders or cause customer order cancellations. For example, political and social turmoil related to international conflicts, such as that occurring in Russia-Ukraine and conflicts within the Middle East, and terrorist acts may put further pressure on economic conditions in the United States and abroad.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economic uncertainty persisted, or if the economy entered a prolonged period of decelerating growth, our results of operations may be harmed.</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Significant developments resulting from recent and potential changes in U.S. trade policies could have a material adverse effect on 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Certain of our materials may be subject to the effects of various trade agreements, treaties and tariffs. In fiscal year 2025, the United States imposed tariffs on various goods from various countries throughout the world, including China, Canada, Mexico and the EU. As a result, Canada, the EU, China and other trade partners responded with retaliatory tariffs on certain United States exports. .. It is uncertain whether such tariffs will remain in effect or if additional tariffs, including retaliatory tariffs, will be imposed. On February 20, 2026, the U.S. Supreme Court invalidated tariffs imposed under the International Emergency Economic Power Act and immediately after, the U.S. Administration initiated new tariffs at different rates under alternative legislative powers, which increases the uncertainty around tariffs.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future sales and issuances of securities could negatively affect our stock price and dilute the ownership interest of our existing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Our Series B Preferred Stock has a liquidation preference over our common stock, which may make our common stock less valuable. If we raise new funds and in order to attract new investment, we may need to issue preferred stock rather than common stock, with a liquidation preference or other rights that the holders of our common stock do not have. Future sales or issuances of securities by us could decrease the value of our common stock and preferred stock, dilute stockholders’ voting power and reduce future potential earnings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raise capital, we may sell common stock and preferred stock, or other convertible or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and preferred stock. We may also issue debt securities, which may impose restrictive covenants on our operations or otherwise adversely affect the holdings or the rights of our stockholders.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 Additional financing may not be available on favorable terms, if at all. If adequate funds are not available on acceptable terms, we may be unable to invest in future growth opportunities, which could seriously harm our business and operating results.</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which we do business will be able to obtain needed liquidity from other banks, government institutions, or by acquisition in the event of a failure or liquidity crisis.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operating results may fluctuate from quarter to quarter and year to 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changing interest rates, global supply chain interruptions, government shutdowns, changes in tax law or policy, tariffs, geopolitical tensions and conflicts, and global pandemics and related responsive measures;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prices at which we can sell our products, including the impact of changes in foreign currency exchange rates;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or reductions in product shipments, or product recalls, resulting from manufacturing, distribution or other operational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the introduction and market acceptance of new products, product enhancements and new applications;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demand for our existing line of ophthalmology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sales volumes at a level sufficient to cover fixed manufacturing and operating costs;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product mix within ophthalmology products and foreign and domestic sales;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regulatory approvals and changes in domestic and foreign regulatory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 and highly variable sales cycle;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variances in shipment volumes as a result of product, supply chain due to global constraints or other factors and training issues;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product innovation costs.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these factors, our quarterly results have been, and are expected to continue to be, affected by seasonal factors.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We rely on continued market acceptance of our existing products and any decline in sales of our existing products would adversely affect our business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future resurgence any future global pandemic or other public health emergencies on timing of ophthalmic treatment procedures;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recommendations and opinions by ophthalmologists, other clinicians, and their associated opinion leaders;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clinical study outcomes;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products, technologies and alternative treatments;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reimbursement for treatments administered with our products.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We face strong competition in our markets and expect the level of competition to grow in the foreseeable future.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principal ophthalmic laser competitors are Alcon Inc., Bausch Health Companies Inc., Carl Zeiss Meditec AG, Lumenis Ltd., Nidek Co. Ltd., Lumibird, ARC GmbH, Meridian, OD-OS GmbH and Norlase. Our alternative glaucoma surgical device competitors are Alcon, Inc., Novartis AG, Allergan, Inc., Glaukos Corporation, Sight Sciences,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lose key personnel or fail to integrate replacement personnel successfully, our ability to manage our business could be impaired.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fail to comply with healthcare laws, we could face substantial penalties and financial exposure, and our business, operations and financial condition could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 There is significant uncertainty in the life sciences industry due to potential government shutdowns, layoffs and staff departures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$1.44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the One Big Beautiful Bill Act (the “OBBBA”), which was signed into law in July 2025,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Although the full impact of the OBBBA on the healthcare system and our business is uncertain, the resulting changes may increase the cost and complexity of completing clinical development of and launching any new products, which could adversely affect our business and prospects. The impact of ongoing and future judicial challenges, as well as future legislative, executive, and administrative actions and healthcare measures and agency rules implemented by the government on us and the healthcare industry as a whole is unclear.</w:t>
      </w:r>
    </w:p>
    <w:p>
      <w:pPr>
        <w:pStyle w:val="TextBody"/>
        <w:bidi w:val="0"/>
        <w:jc w:val="left"/>
        <w:rPr>
          <w:rFonts w:ascii="Times New Roman" w:hAnsi="Times New Roman"/>
          <w:color w:val="000000"/>
          <w:sz w:val="20"/>
        </w:rPr>
      </w:pPr>
      <w:r>
        <w:rPr>
          <w:rFonts w:ascii="Times New Roman" w:hAnsi="Times New Roman"/>
          <w:color w:val="000000"/>
          <w:sz w:val="20"/>
        </w:rPr>
        <w:t xml:space="preserve">It is unclear how future legislation, executive orders, new regulations, and other actions by federal and state governments, including changes in the leadership of FDA and other federal agencies, will impact the industry, including our business and that of our customers. Budget cuts to research and federal agencies, layoffs at federal agencies, hiring freezes, return-to-office policies, the current government shutdown, lapse in government appropriations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depend on collaborative relationships to develop, introduce and market new products, product enhancements and applications.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color w:val="000000"/>
          <w:sz w:val="20"/>
        </w:rPr>
        <w:t xml:space="preserve"> </w:t>
      </w:r>
      <w:r>
        <w:rPr>
          <w:rFonts w:ascii="Times New Roman" w:hAnsi="Times New Roman"/>
          <w:b/>
          <w:i/>
          <w:color w:val="000000"/>
          <w:sz w:val="20"/>
        </w:rPr>
        <w:t>significant negative effect on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initiating lawsuits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rely on patents and proprietary rights to protect our intellectual property and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January 3, 2026, our patent portfolio includes 67 active United States patents and 94 active international patents on the technologies related to our products and processes. In addition, as of January 3, 2026, we have 12 patent applications pending in the United States and 19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Numerous patents are held by others, including academic institutions and our competitors. Patent applications filed in the United States generally will be published eighteen months after the filing date. However, since patent applications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depend on sole source or limited source suppliers.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geopolitical conflict and instability, any future global pandemic and inflationary pressures on global supply chains and market stability;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delivery or failure of suppliers to deliver critical components and products on the dates we require;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suppliers to manufacture and assemble components and products to our specifications, and potentially reduced quality;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components and products in a timely manner or at acceptable prices due to global supply chain constraints or other factors.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in the event it becomes necessary to utilize one or more different contract manufacturers for critical sole and limited source components, and fully-assembled products, or other product components associated with our products, we would experience additional costs, delays and difficulties in doing so as a result of identifying and entering into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with new suppliers or manufacturers. In such event, we would have to prepare such new suppliers or manufacturers to meet the logistical requirements associated with supplying and manufacturing our products to our specifications, and our business would suffer.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outsource to third parties certain supply-chain logistics functions, including portions of our product distribution, transportation management and information technology support services.</w:t>
      </w:r>
    </w:p>
    <w:p>
      <w:pPr>
        <w:pStyle w:val="TextBody"/>
        <w:bidi w:val="0"/>
        <w:jc w:val="left"/>
        <w:rPr>
          <w:rFonts w:ascii="Times New Roman" w:hAnsi="Times New Roman"/>
          <w:color w:val="000000"/>
          <w:sz w:val="20"/>
        </w:rPr>
      </w:pPr>
      <w:r>
        <w:rPr>
          <w:rFonts w:ascii="Times New Roman" w:hAnsi="Times New Roman"/>
          <w:color w:val="000000"/>
          <w:sz w:val="20"/>
        </w:rPr>
        <w:t>We rely on certain third-party providers to operate our regional product distribution centers and to manage the transportation of our work-in-process and finished products among our facilities, to our third-party manufacturers and to our customers. We cannot guarantee that these providers will fulfill their respective responsibilities in a timely manner in accordance with the contract terms, in which case our internal operations and the distribution of our products to our customers could be materially adversely affected. Also, we cannot guarantee that our contracts with these third-party providers will be renewed, in which case we would have to transition these functions in-house or secure new providers, which could have a material adverse effect on our business if the transition is not executed appropriately.</w:t>
      </w:r>
    </w:p>
    <w:p>
      <w:pPr>
        <w:pStyle w:val="TextBody"/>
        <w:bidi w:val="0"/>
        <w:spacing w:before="120" w:after="283"/>
        <w:ind w:left="0" w:right="0" w:firstLine="495"/>
        <w:jc w:val="left"/>
        <w:rPr>
          <w:rFonts w:ascii="Times New Roman" w:hAnsi="Times New Roman"/>
          <w:b/>
          <w:i/>
          <w:color w:val="000000"/>
          <w:sz w:val="20"/>
        </w:rPr>
      </w:pPr>
      <w:r>
        <w:rPr>
          <w:rFonts w:ascii="Times New Roman" w:hAnsi="Times New Roman"/>
          <w:b/>
          <w:i/>
          <w:color w:val="000000"/>
          <w:sz w:val="20"/>
        </w:rPr>
        <w:t>If our facilities were to experience catastrophic loss, our operations would be seriously harmed.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expenses to repair and replace our facilities.</w:t>
      </w:r>
    </w:p>
    <w:p>
      <w:pPr>
        <w:pStyle w:val="TextBody"/>
        <w:bidi w:val="0"/>
        <w:spacing w:before="120" w:after="283"/>
        <w:ind w:left="0" w:right="0" w:firstLine="495"/>
        <w:jc w:val="left"/>
        <w:rPr>
          <w:rFonts w:ascii="Times New Roman" w:hAnsi="Times New Roman"/>
          <w:b/>
          <w:i/>
          <w:color w:val="000000"/>
          <w:sz w:val="20"/>
        </w:rPr>
      </w:pPr>
      <w:r>
        <w:rPr>
          <w:rFonts w:ascii="Times New Roman" w:hAnsi="Times New Roman"/>
          <w:b/>
          <w:i/>
          <w:color w:val="000000"/>
          <w:sz w:val="20"/>
        </w:rPr>
        <w:t>If we experience a significant disruption in our information technology systems or breaches of data security, our business could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are subject to government regulations which may cause us to delay or withdraw the introduction of new products or new applications for our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imposes a broad range of additional requirements on medical device companies. Our products must be produced in compliance with the applicable requirements of the Quality Management System Regulation (QMSR), which incorporates by reference the quality management system requirements of ISO 13485:2016, replaced the former Quality System Regulation (QSR), and went into effect in February 2026,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fail to comply with the FDA’s quality system regulation and laser performance standards, our manufacturing operations could be halted, and our business would suffer.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currently required to demonstrate and maintain compliance with the FDA’s QMSR, which went into effect in February 2026. The QSMR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QSMR and laser performance standards through periodic unannounced inspections. We have been, and anticipate in the future being, subject to such inspections. Our failure to take satisfactory corrective action in response to an adverse QSMR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 If we or any of our suppliers or contractors fail to meet the regulatory requirements or a regulatory inspection, our operations could be disrupted and our manufacturing interrupted.</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integrating any acquired products into our existing business;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an acquired company’s technologies, services, employees and other service providers, customers, partners, business operations and administrative and software management systems with ours;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realizing the benefits of the acquired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our management’s time and attention from other business concerns;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customer reaction to the product acquisition;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Divestitures of our product lines may materially and adversely affect our financial condition, results of operations or cash flows and require us to raise additional capital to replace revenue from those product lines.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two main product lines: glaucoma and retina, with domestic and international sales within each. We periodically evaluate the strategic fit and may sell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product lines and may need to raise additional capital to replace the revenue generated from the product line that is divested. We can provide no assurance that such capital will be available or available on terms that are acceptable to us. We cannot assure you that we will be successful in managing these or any other significant risks that we encounter in divesting a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products may be misused, which could harm our reputation and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Inability of customers to obtain credit or material increases in interest rates may harm our sales.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products could be subject to recalls even after receiving FDA approval or clearance. A recall would harm our reputation and adversely affect our operating results.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product liability claims are successfully asserted against us, we may incur substantial liabilities that may adversely affect our business or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Changes in U.S. tax laws could have a material adverse effect on our business, consolidated cash flow, results of operations or financial conditions.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the One Big Beautiful Bill Act (the “OBBBA”) was enacted on July 4, 2025, and made a number of changes to existing tax law, including extending or making permanent certain business and international tax measures initially established under the Tax Act, which were set to expire. The OBBBA requires complex computations to be performed that were initially introduced by the Tax Act. The U.S. Treasury Department, the Internal Revenue Service (the “IRS”), and other standard-setting bodies could interpret or issue guidance on how provisions of the OBBBA will be applied or otherwise administered that is different from our interpretation. We have considered the impact of the OBBBA in the current financial year. We are also in the process of evaluating the financial statement impact of these provisions for future periods. We do not expect the OBBBA to have a material impact on our consolidated financial statements. As we evaluate the effect of the OBBBA, collect and prepare necessary data, and interpret any additional guidance, we may adjust provisional amounts that we have recorded that may impact our provision for income taxes in the period in which the adjustments are made.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 For example, recently enacted California legislation limits the use of state net operating loss carryforwards (“NOLs”) for tax years beginning on or after January 1, 2024 and before January 1, 2027. As a result of this legislation or other unforeseen reasons, we may not be able to utilize some or all of our NOLs, even if we attain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Dodd-Frank Wall Street Reform and Consumer Protection Act requires us to track and disclose the source of certain metals used in manufacturing which may stem from minerals (so-called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we fail to comply with environmental requirements, our business, financial condition, operating results and reputation could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stock price has been and may continue to be volatile and an investment in our common stock could suffer a decline in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our capital structure, including future issuances of securities or the incurrence of debt and the exercise or conversion of our outstanding convertible promissory notes and shares of Series B Preferred Stock, changes in market valuations of other similar companies in our industry and general market conditions, including market volatility due to investor concerns regarding inflation and geopolitical conflicts and tensions, such as the Russia-Ukraine and Middle East conflicts. During the fourth quarter of fiscal year 2025, the closing trading price of our common stock fluctuated from a low of $0.89 per share to a high of $1.23 per share. During the fiscal year 2025, the closing trading price of our common stock fluctuated from a low of $0.79 per share to a high of $1.83 per share. There can be no assurance that our common stock trading price will not suffer declines. Our common stock may experience an imbalance between supply and demand resulting from low trading volumes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therefore broad market fluctuations could have a significant impact on the market price of our common stock regardless of our performance.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amended and restated certificate of incorporation grants our Board of Directors the power to issue additional shares of common and preferred stock and to designate series of preferred stock, all without stockholder approval.</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Our board of directors, without any action by our stockholders, has and may again designate and issue shares of preferred stock in such series as it deems appropriate and establish the rights, preferences and privileges of such shares, including dividends, liquidation and voting rights, provided it is consistent with Delaware law.</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The rights of holders of our preferred stock that have and may be issued could be superior to the rights of holders of common stock. The designation and issuance of shares of capital stock having preferential rights could adversely affect other rights appurtenant to shares of the common stock. Further, any issuances of additional stock (common or preferred) will dilute the percentage of ownership interest of then current holders of our capital stock and may dilute the book value per share.</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 xml:space="preserve">Specifically, pursuant to the Novel Securities Purchase Agreement, we issued an aggregate of 1,000,000 shares of Series B Preferred Stock. With respect to any matter submitted to the vote of the holders of common stock, the holders of the Series B Preferred Stock are entitled to vote the whole number of votes equal to the number of shares of common stock into which such holder’s Series B Preferred Stock would be convertible into a number of shares of common stock on the record date for the vote or consent of stockholders determined by dividing the purchase price of $10.00 per share of Series B Preferred Stock by an initial conversion price of $2.00 per share, which may be revised through amendment and/or restatement of our Amended and Restated Certificate of Incorporation that is approved by our stockholders. The Series B Preferred Stock also ranks senior to the Common Stock and any other pari passu capital stock of the Company with respect to a bankruptcy or Change of Control Event (as defined in the Designations, Powers, Preferences and Relative and Other Special Rights and the Qualifications, Limitations and Restrictions of Such Series of the Series B Preferred Stock).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Because we do not intend to pay dividends, stockholders will benefit from an investment in our common stock only if it appreciates in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incorrect or unfavorable research about our business, our stock price and trading volume could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Our charter documents, anti-takeover provisions of Delaware law, and contractual provisions could delay or prevent an acquisition or sale of our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amended and restated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Subject to the rights of holders of Preferred Stock under specified circumstances, our amended and restated certificate of incorporation and bylaws contain other provisions that could have an anti-takeover effect,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authorized number of directors may be changed only by resolution of our board of directors;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board of directors is authorized to fill vacant directorships, including newly created seats;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must give advance notice to nominate directors or propose other business;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are not permitted to cumulate votes in the election of directors.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ind w:left="0" w:right="0" w:firstLine="490"/>
        <w:jc w:val="left"/>
        <w:rPr/>
      </w:pPr>
      <w:r>
        <w:rPr/>
        <w:t> </w:t>
      </w:r>
    </w:p>
    <w:p>
      <w:pPr>
        <w:pStyle w:val="TextBody"/>
        <w:bidi w:val="0"/>
        <w:spacing w:before="120" w:after="283"/>
        <w:jc w:val="left"/>
        <w:rPr>
          <w:rFonts w:ascii="Times New Roman" w:hAnsi="Times New Roman"/>
          <w:b/>
          <w:color w:val="000000"/>
          <w:sz w:val="20"/>
        </w:rPr>
      </w:pPr>
      <w:bookmarkStart w:id="5" w:name="item_1_b"/>
      <w:bookmarkEnd w:id="5"/>
      <w:r>
        <w:rPr>
          <w:rFonts w:ascii="Times New Roman" w:hAnsi="Times New Roman"/>
          <w:b/>
          <w:color w:val="000000"/>
          <w:sz w:val="20"/>
        </w:rPr>
        <w:t>Item 1B. Unresolved Staff Comments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bookmarkStart w:id="6" w:name="item_1c"/>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Process documentation is maintained by third party software provider through our document control department.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conduct periodic risk assessments to identify cybersecurity threats and cybersecurity incidents,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Following these risk assessments, we re-design, implement, and maintain reasonable safeguards to minimize identified risks; we reasonably address any identified gaps in existing safeguards; and we regularly monitor the effectiveness of our safeguards. We devote our resources and designate high-level personnel, including our internal Senior IT manager who reports to our Chief Executive Officer, to manage the risk assessment and mitigation process.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part of our overall risk management system and in collaboration with human resources, IT, and management, we monitor, test, and train our employees on our safeguards. We inform and train personnel across all levels of our cybersecurity policies.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engage third parties in connection with our risk assessment processes. These service providers assist us to design and implement our cybersecurity policies and procedures, as well as to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pStyle w:val="TextBody"/>
        <w:bidi w:val="0"/>
        <w:ind w:left="0" w:right="0" w:firstLine="49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audit committee of our board of directors (the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Senior management regularly discusses cyber risks and trends and, should they arise, any material incidents with the Audit Committee.</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r>
        <w:rPr>
          <w:rFonts w:ascii="Arial" w:hAnsi="Arial"/>
          <w:color w:val="000000"/>
          <w:sz w:val="20"/>
        </w:rPr>
        <w:t>.</w:t>
      </w:r>
    </w:p>
    <w:p>
      <w:pPr>
        <w:pStyle w:val="TextBody"/>
        <w:bidi w:val="0"/>
        <w:ind w:left="0" w:right="0" w:firstLine="490"/>
        <w:jc w:val="left"/>
        <w:rPr/>
      </w:pPr>
      <w:r>
        <w:rPr/>
        <w:t> </w:t>
      </w:r>
    </w:p>
    <w:p>
      <w:pPr>
        <w:pStyle w:val="TextBody"/>
        <w:bidi w:val="0"/>
        <w:spacing w:before="120" w:after="283"/>
        <w:jc w:val="left"/>
        <w:rPr>
          <w:rFonts w:ascii="Times New Roman" w:hAnsi="Times New Roman"/>
          <w:b/>
          <w:color w:val="000000"/>
          <w:sz w:val="20"/>
        </w:rPr>
      </w:pPr>
      <w:bookmarkStart w:id="7" w:name="item_2"/>
      <w:bookmarkEnd w:id="7"/>
      <w:r>
        <w:rPr>
          <w:rFonts w:ascii="Times New Roman" w:hAnsi="Times New Roman"/>
          <w:b/>
          <w:color w:val="000000"/>
          <w:sz w:val="20"/>
        </w:rPr>
        <w:t>Item 2. Properties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leased a 37,166 square feet facility in Mountain View, California for our corporate headquarters pursuant to a Triple Net Lease dated April 26, 2017 that expired in February 2022. On April 30, 2021, the First Amendment to the Triple Net Lease (“First Amendment”) was executed, among other things, that reduced the portion of the premises leased by the Company to approximately 29,830 square feet and extended the lease term through August 31, 2024. On August 29, 2022 the Second Amendment to the Triple Net Lease (“Second Amendment”) was executed. On September 23, 2023, the Third Amendment to the Triple Net Lease (“Third Amendment”) was executed that extended the lease term through August 31, 2026.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also lease other facilities internationally, primarily for offices to support international sales and perform general and administrative duties. The leased properties include space in the following locations: Germany and The Republic of The Philippines.</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believes that the facilities we currently lease are adequate for our current needs and that suitable additional space or an alternative space would be available as needed in the future on commercially reasonable terms.</w:t>
      </w:r>
    </w:p>
    <w:p>
      <w:pPr>
        <w:pStyle w:val="TextBody"/>
        <w:bidi w:val="0"/>
        <w:spacing w:before="120" w:after="283"/>
        <w:jc w:val="left"/>
        <w:rPr>
          <w:rFonts w:ascii="Times New Roman" w:hAnsi="Times New Roman"/>
          <w:b/>
          <w:color w:val="000000"/>
          <w:sz w:val="20"/>
        </w:rPr>
      </w:pPr>
      <w:bookmarkStart w:id="8" w:name="item_3"/>
      <w:bookmarkEnd w:id="8"/>
      <w:r>
        <w:rPr>
          <w:rFonts w:ascii="Times New Roman" w:hAnsi="Times New Roman"/>
          <w:b/>
          <w:color w:val="000000"/>
          <w:sz w:val="20"/>
        </w:rPr>
        <w:t>Item 3. 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consolidated operating results, financial condition or cash flows. Regardless of the outcome, litigation can have an adverse impact on us because of defense and settlement costs, diversion of management resources and other factors. We are not currently party to any material legal proceedings.</w:t>
      </w:r>
    </w:p>
    <w:p>
      <w:pPr>
        <w:pStyle w:val="TextBody"/>
        <w:bidi w:val="0"/>
        <w:spacing w:before="120" w:after="283"/>
        <w:jc w:val="left"/>
        <w:rPr>
          <w:rFonts w:ascii="Times New Roman" w:hAnsi="Times New Roman"/>
          <w:b/>
          <w:color w:val="000000"/>
          <w:sz w:val="20"/>
        </w:rPr>
      </w:pPr>
      <w:bookmarkStart w:id="9" w:name="item_4"/>
      <w:bookmarkEnd w:id="9"/>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1" w:name="item_5"/>
      <w:bookmarkEnd w:id="11"/>
      <w:r>
        <w:rPr>
          <w:rFonts w:ascii="Times New Roman" w:hAnsi="Times New Roman"/>
          <w:b/>
          <w:color w:val="000000"/>
          <w:sz w:val="20"/>
        </w:rPr>
        <w:t>Item 5. Market for Registrant’s Common Equity and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Common Equity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common stock is currently quoted on the Nasdaq Capital Market under the symbol “IRIX”.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As of March 31, 2026, there were approximately 32 holders of record (not in street name) of our common stock. Because many of our shares of common stock are held by brokers and other institutions on behalf of our stockholders, we are unable to estimate the total number of stockholders represented by these record holders.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never paid cash dividends on our common stock. We currently intend to retain any earnings for use in our business and do not anticipate paying cash dividends in the foreseeable future.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Part III, Item 12, Security Ownership of Certain Beneficial Owners and Management and Related Stockholder Matters for information regarding securities authorized for issuance.</w:t>
      </w:r>
    </w:p>
    <w:p>
      <w:pPr>
        <w:pStyle w:val="TextBody"/>
        <w:bidi w:val="0"/>
        <w:spacing w:before="120" w:after="283"/>
        <w:jc w:val="left"/>
        <w:rPr>
          <w:rFonts w:ascii="Times New Roman" w:hAnsi="Times New Roman"/>
          <w:b/>
          <w:color w:val="000000"/>
          <w:sz w:val="20"/>
        </w:rPr>
      </w:pPr>
      <w:bookmarkStart w:id="12" w:name="item_6"/>
      <w:bookmarkEnd w:id="12"/>
      <w:r>
        <w:rPr>
          <w:rFonts w:ascii="Times New Roman" w:hAnsi="Times New Roman"/>
          <w:b/>
          <w:color w:val="000000"/>
          <w:sz w:val="20"/>
        </w:rPr>
        <w:t>Item 6. [Reserved]</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3" w:name="item_7"/>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propriety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 Our proprietary MicroPulse® and Continuous Wave laser therapies for glaucoma have been adopted by physicians around the globe as effective tools for managing and slowing the progression of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fiscal years 2025 and 2024, our products were sold in the United States and Germany predominantly through a direct sales force and internationally (aside from Germany) primarily through independent distributors. Total revenues in fiscal years 2025 and 2024 were $52.7 million and $48.7 million, respectively. We generated net losses of $4.4 million and $8.9 million in fiscal years 2025 and 2024,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 Cost of revenues consists primarily of our direct manufacturing costs which include the cost of components and sub-systems,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the recent Local Coverage Determination on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2024, Local Coverage Determination ("LCD") L37531, which relates to Micro-Invasive Glaucoma Surgery (MIGS), was adopted and became effective for services performed on or after November 17, 2024. We believe the reimbursement limitations created by the LCD has increased physician interest in and use of our advanced laser-based treatments for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LCD clarifies that treatments performed using our laser consoles and probes are not MIGS procedures, and thus, our Cyclo G6® product family is unaffected by the new reimbursement limitations.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creating some reimbursement advantages for our glaucoma treatments in the United States, the LCD creates opportunity to capture more physician attention to the significant clinical benefits of our products, particularly MicroPulse Transscleral Laser Therapy (MPTLT). Our laser procedures are noninvasive, repeatable, and can be utilized to treat patients across a far broader range of glaucoma’s progression, whether before, after, or even coincident to MIGS procedures.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Moreover, the LCD provides the following reimbursement limitations:</w:t>
      </w:r>
    </w:p>
    <w:p>
      <w:pPr>
        <w:pStyle w:val="TextBody"/>
        <w:bidi w:val="0"/>
        <w:spacing w:before="120" w:after="283"/>
        <w:ind w:left="489" w:right="0" w:hanging="0"/>
        <w:jc w:val="left"/>
        <w:rPr>
          <w:rFonts w:ascii="Aptos;sans-serif" w:hAnsi="Aptos;sans-serif"/>
          <w:color w:val="000000"/>
          <w:sz w:val="20"/>
        </w:rPr>
      </w:pPr>
      <w:r>
        <w:rPr>
          <w:rFonts w:ascii="Aptos;sans-serif" w:hAnsi="Aptos;sans-serif"/>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MIGS is not considered a first line treatment for mild-moderate glaucoma.</w:t>
      </w:r>
    </w:p>
    <w:p>
      <w:pPr>
        <w:pStyle w:val="TextBody"/>
        <w:bidi w:val="0"/>
        <w:spacing w:before="120" w:after="283"/>
        <w:ind w:left="489" w:right="0" w:hanging="0"/>
        <w:jc w:val="left"/>
        <w:rPr>
          <w:rFonts w:ascii="Aptos;sans-serif" w:hAnsi="Aptos;sans-serif"/>
          <w:color w:val="000000"/>
          <w:sz w:val="20"/>
        </w:rPr>
      </w:pPr>
      <w:r>
        <w:rPr>
          <w:rFonts w:ascii="Aptos;sans-serif" w:hAnsi="Aptos;sans-serif"/>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combination of a surgical MIGS procedure and an aqueous shunt cannot be performed at the same time of service in the same eye.</w:t>
      </w:r>
    </w:p>
    <w:p>
      <w:pPr>
        <w:pStyle w:val="TextBody"/>
        <w:bidi w:val="0"/>
        <w:spacing w:before="120" w:after="283"/>
        <w:ind w:left="489" w:right="0" w:hanging="0"/>
        <w:jc w:val="left"/>
        <w:rPr>
          <w:rFonts w:ascii="Aptos;sans-serif" w:hAnsi="Aptos;sans-serif"/>
          <w:color w:val="000000"/>
          <w:sz w:val="20"/>
        </w:rPr>
      </w:pPr>
      <w:r>
        <w:rPr>
          <w:rFonts w:ascii="Aptos;sans-serif" w:hAnsi="Aptos;sans-serif"/>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Phacoemulsification/intraocular lens placement performed with a combination of MIGS procedures, (e.g., cataract + stent + canaloplasty or goniotomy) at the same time of service in the same eye is non-covered.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tariffs, trade wars, unexpected changes in taxes or policies, inflation concerns, changing interest rates, as well as other geopolitical uncertainties and conflicts, have impacted and may continue to impact business spending and the economy as a whole. As a result, we have seen customers extend purchase decision cycles.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sections titled “Risk Factors” in Item 1A of Part I.</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 - Fiscal Years 2025 and 2024</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fiscal year ends on the Saturday closest to December 31. Fiscal year 2025 ended on January 3, 2026 and fiscal year 2024 ended on December 28, 2024. Fiscal year 2025 included 53 weeks of operations and 2024 included 52 weeks.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certain operating data as a percentage of revenues for the periods indicated. </w:t>
      </w:r>
    </w:p>
    <w:tbl>
      <w:tblPr>
        <w:tblW w:w="8380" w:type="dxa"/>
        <w:jc w:val="left"/>
        <w:tblInd w:w="0" w:type="dxa"/>
        <w:tblLayout w:type="fixed"/>
        <w:tblCellMar>
          <w:top w:w="28" w:type="dxa"/>
          <w:left w:w="28" w:type="dxa"/>
          <w:bottom w:w="28" w:type="dxa"/>
          <w:right w:w="28" w:type="dxa"/>
        </w:tblCellMar>
      </w:tblPr>
      <w:tblGrid>
        <w:gridCol w:w="4576"/>
        <w:gridCol w:w="146"/>
        <w:gridCol w:w="264"/>
        <w:gridCol w:w="1041"/>
        <w:gridCol w:w="331"/>
        <w:gridCol w:w="146"/>
        <w:gridCol w:w="305"/>
        <w:gridCol w:w="1195"/>
        <w:gridCol w:w="37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color w:val="000000"/>
          <w:sz w:val="20"/>
        </w:rPr>
        <w:t>Comparison of Fiscal Years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jc w:val="left"/>
        <w:rPr/>
      </w:pPr>
      <w:r>
        <w:rPr/>
        <w:t> </w:t>
      </w:r>
    </w:p>
    <w:tbl>
      <w:tblPr>
        <w:tblW w:w="7489" w:type="dxa"/>
        <w:jc w:val="left"/>
        <w:tblInd w:w="0" w:type="dxa"/>
        <w:tblLayout w:type="fixed"/>
        <w:tblCellMar>
          <w:top w:w="28" w:type="dxa"/>
          <w:left w:w="28" w:type="dxa"/>
          <w:bottom w:w="28" w:type="dxa"/>
          <w:right w:w="28" w:type="dxa"/>
        </w:tblCellMar>
      </w:tblPr>
      <w:tblGrid>
        <w:gridCol w:w="1321"/>
        <w:gridCol w:w="146"/>
        <w:gridCol w:w="310"/>
        <w:gridCol w:w="995"/>
        <w:gridCol w:w="146"/>
        <w:gridCol w:w="146"/>
        <w:gridCol w:w="357"/>
        <w:gridCol w:w="1143"/>
        <w:gridCol w:w="146"/>
        <w:gridCol w:w="146"/>
        <w:gridCol w:w="263"/>
        <w:gridCol w:w="712"/>
        <w:gridCol w:w="146"/>
        <w:gridCol w:w="146"/>
        <w:gridCol w:w="302"/>
        <w:gridCol w:w="748"/>
        <w:gridCol w:w="31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total revenues increased by $4.0 million, or 8.2%, from $48.7 million in 2024 to $52.7 million in fiscal year 2025. The increase in revenue was primarily driven by higher retina system sales, including Pascal sales, glaucoma probe sales and an extra selling week in the fiscal 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discussed above.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decreased by $0.3 million, or 1.4%, from $19.5 million in 2024 to $19.2 million in fiscal year 2025. Gross margin decreased by 3.6% from 40.1% in 2024 to 36.5% in fiscal year 2025. Gross margin decreased primarily due to inventory write</w:t>
        <w:noBreakHyphen/>
        <w:t>downs, increased product costs associated with recent tariff developments, and lower capitalization of manufacturing overhead as inventory levels declined.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including tariffs and trade wars, and other factors.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decreased by $1.8 million, or 32.7%, from $5.4 million in 2024 to $3.7 million in fiscal year 2025. The decrease was related to our cost savings measures we implemented, resulting in lower headcount expenses. Spending on investment in new and expanded products was also curtailed.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decreased by $2.2 million, or 17.4%, from $12.6 million in 2024 to $10.4 million in fiscal year 2025. The decrease in fiscal year 2025 was related to our cost savings measures, including reductions in workforce that resulted in lower headcount expenses and lower tradeshows and promotional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decreased by $2.0 million, or 20.9% from $9.8 million in 2024 to $7.7 million in fiscal year 2025. The decrease was a primarily due to a decrease in consulting costs and deal related legal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was $1.8 million in fiscal year 2025, driven primarily by the costs associated with the settlement of the Lind Note. Other expense, net, was $0.5 million in fiscal year 2024, consisting of interest and amortization of loan expenses related to the Lind Note transaction and foreign currency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recorded a provision for income taxes of $57 thousand for the fiscal year ended January 3, 2026 compared to provision for income of $68 thousand for the fiscal year ended December 28, 2024. The effective tax rate for the fiscal year ended January 3, 2026 was -1.3% compared to an effective rate of -0.8% for the fiscal year ended December 28, 2024. Our effective tax rate decrease is due mainly to the change in valuation allowance. At the end of fiscal year 2025, the valuation allowance totaled $27.5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jc w:val="left"/>
        <w:rPr>
          <w:rFonts w:ascii="Times New Roman" w:hAnsi="Times New Roman"/>
          <w:sz w:val="20"/>
        </w:rPr>
      </w:pPr>
      <w:r>
        <w:rPr>
          <w:rFonts w:ascii="Times New Roman" w:hAnsi="Times New Roman"/>
          <w:i/>
          <w:color w:val="000000"/>
          <w:sz w:val="20"/>
        </w:rPr>
        <w:t>Comparison of Fiscal Years 2025 and 2024</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January 3, 2026, we had cash and cash equivalents of $6.0 million and working capital of $12.0 million compared to cash and cash equivalents of $2.4 million and working capital of $7.0 million as of December 28,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operating activities was $2.1 million in 2025 compared to net cash used in operating activities of $7.3 million in 2024. The decrease in net cash used in operating activities was primarily due to reduction in net loss and reduction in inventory.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fiscal year 2025, net cash used in investing activities was $143 thousand for capital expenditures. During fiscal year 2024, net cash used in investing activities was $13 thousand for capital expenditures.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fiscal year 2025, net cash provided by financing activities was $6.0 million, primarily from net proceeds of $10.0 million from issuances of Series B preferred stock and a convertible note payable to Novel Inspiration International Co., Ltd (“Novel”), offset by a $4.0 million early prepayment of convertible debt and taxes paid related to net share settlements of equity awards. During fiscal year 2024, net cash provided by financing activities was $2.6 million, primarily from net proceeds of $3.4 million from issuance of a senior convertible promissory note payable to Lind Global Asset Management IX LLC (“Lind”) partially offset by $0.5 million debt issuance costs and $0.2 million payments to the note were payable to Lind.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historically funded our operations primarily through sales of our products to customers, and through common stock and borrowing arrangements. As of January 3, 2026, our principal sources of liquidity consisted of cash and cash equivalents of $6.0 million. We have incurred net losses over the last several years, and as of January 3, 2026, have an accumulated deficit of approximately $92.4 million. We may continue to incur operating losses and negative cash flows from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evaluates whether there are relevant conditions and events that, in the aggregate, raise substantial doubt about our ability to continue as a going concern and to meet its obligations as they become due within one year after the date that the financial statements are issued.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19, 2025, the Company entered into the Novel Securities Agreement and the Novel Note Purchase Agreement with Novel. Pursuant to the Novel Securities Agreement and the Novel Note Purchase Agreement,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 We have not issued any Growth Notes, but may do so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existing cash and cash equivalents will be sufficient to meet our anticipated cash needs over the next 12 months. Our future capital requirements will depend on many factors, including our growth rates,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We recognize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Our products consist of laser consoles, delivery devices and consumable instrumentation, including laser probes. Our products are currently sold for use by ophthalmologists specializing in the treatment of glaucoma and retinal diseases. Inside the United States and Germany the products are sold directly to the end users. In other countries outside of the United States and Germany, we utilize independent, third-party distributors to market and sell our products. There is no continuing obligation after shipment is made to these distributors.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We recognize revenue from product sales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Contracts: We offer a standard two-year warranty on all system sales. We also offer a service contract which is sold to customers in incremental, one-year periods that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We recognize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we allocate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Contract Sale Subsequent to System Sale: If the customer opts to purchase a service contract after the initial system sale, we determine the amount of time that has elapsed since the initial system sale. If the service contract is purchased within 60 days of the initial sale, we consider this sale to be an additional element of the original sale and allocate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us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We recognize revenue from system repairs (outside of warranty) at a point in time. When the customer requests repairs from us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Revenue: We have royalty agreements with two customers related to the sale of our intellectual property. Under the terms of these agreements, one customer is to remit a percentage of sales to us as the sales occur and one customer is to remit fixed amount royalty payments based on the quantity sold as the sales occur.</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arrangements with three customers are for sales-based licenses of intellectual property, for which the guidance in paragraph ASC 606-10-55-65 applies. Therefore, we recognize revenue at a point in time, only as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subsequent sale occurs. However, we note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we concluded that there is one combined performance obligation to be satisfied. Therefore, we recognize revenue related to this arrangement over time.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During both the fiscal years ended 2025 and 2024, $1.5 million in revenue related to the exclusive distribution rights was recorded.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January 3, 2026, the Company had fully recognized deferred costs incurred to obtain revenue contracts with customers, which amounts were previously included in Prepaid expenses and other current assets and Other long-term assets in the Company’s consolidated balance sheets. Amortization expense was $23 thousand and $0.2 million, respectively, for the fiscal years ended January 3, 2026 and December 28, 2024. There were no impairment expenses for both the fiscal years ended January 3, 2026 and December 28,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January 3, 2026 and December 28, 2024, we recognized deferred costs incurred to fulfill a contract with a customer, net of accumulated amortization, of $0.5 million and $0.6 million, respectively, and included these amounts in Prepaid expenses and other current assets and Other long-term assets in the Company’s consolidated balance sheets. Amortization expense was $83 thousand, for both fiscal years ended January 3, 2026 and December 28, 2024. There were no impairment expenses for both the fiscal years ended January 3, 2026 and December 28,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pricing, physical deterioration and quality issues. Revisions to these adjustments would be required if these factors differ from our estimates.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Credit Loss and Sales Returns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estimate future sales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Similarly, management must make estimates regarding the collectability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provision for credit losses for estimated losses resulting from the inability of our customers to make required payments. The provision for credit losses is based on past payment history with the customer, analysis of the customer’s current financial condition, the aging of the accounts receivable balance, customer concentration and other known factors.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Our warranty policy is applicable to products which are considered defective in their performance or fail to meet the product specifications. Warranty costs are reflected in the consolidated statements of operations as cost of revenues.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2025, based on the Company’s history of earnings and forecasted losses, management continued to conclude that, on a more-likely-than-not basis, its deferred tax assets were not realizable. Accordingly, the Company maintained a full valuation allowance against its federal and state deferred tax assets that was initially recorded in the fourth quarter of fiscal year 2024.</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Uncertainty in 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fiscal year ended January 3,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Stock-Based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account for stock-based compensation granted to employees and directors, including employees’ stock option awards and restricted stock units at grant date, based on the fair value of the award. Stock-based compensation is recognized as expense on a ratable basis over the requisite service period of the award.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restricted stock units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The Monte Carlo simulation model incorporates assumptions for the holding period, risk-free interest rate, stock price volatility and dividend yield.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determine if an arrangement is a lease at inception. Operating leases are included in Operating lease right-of-use (“ROU”) assets, net and Operating lease liabilities in our consolidated balance sheets. As of January 3, 2026, we were not a party to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available practical expedient, we account for the lease and non-lease components as a single lease component.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our Consolidated Balance Sheets in the stockholders’ equity section as a component of accumulated other comprehensive income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Variable Interest Entities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January 3, 2026, the Company consolidated a new foreign subsidiary in accordance with accounting standards for consolidation of variable interest entities (“VIEs”). The Company consolidates the subsidiary because it is the primary beneficiary. Noncontrolling interests in these entities were immaterial and $0 as of January 3, 2026 and December 28, 2024, respectively. The Company will consolidate certain general and administrative expenses of this subsidiary. The consolidated total assets and liabilities related to the above consolidated VIE, net of intercompany eliminations, were both $74 thousand, as of January 3, 2026, and both $0 as of December 28, 2024. The Company’s financial risk in the VIE primarily includes its equity investment in the VIE and liabilities related to an office lease.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the Financial Accounting Standards Board (“FASB”) issued ASU 2023-09 “Income Taxes (Topics 740): Improvements to Income Tax Disclosures” to expand the disclosure requirements for income taxes, specifically related to the rate reconciliation and income taxes paid. ASU 2023-09 is effective for the Company’s annual periods after December 15, 2024. The Company adopted this ASU during the fourth fiscal quarter of fiscal year 2025. The adopted ASU had no material impact on the Company's consolidated financial statements as it only impacted disclosures.</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providing a practical expedient available for all entities to assume that current conditions as of the balance sheet date remain unchanged for the asset’s remaining life. This update will be effective for fiscal years beginning after December 15, 2025, and interim periods within those annual reporting periods. Early adoption is permitted. The Company does not expect that the adoption of this accounting standard to have a material impact on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have any off-balance sheet arrangements. </w:t>
      </w:r>
    </w:p>
    <w:p>
      <w:pPr>
        <w:pStyle w:val="TextBody"/>
        <w:bidi w:val="0"/>
        <w:spacing w:before="12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this Item.</w:t>
      </w:r>
    </w:p>
    <w:p>
      <w:pPr>
        <w:pStyle w:val="TextBody"/>
        <w:bidi w:val="0"/>
        <w:spacing w:before="120" w:after="283"/>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consolidated balance sheets as of January 3, 2026 and December 28, 2024 and the consolidated statements of operations, comprehensive loss, stockholders’ equity and cash flows for each of our fiscal years 2025 and 2024 together with the related notes and the report of our independent registered public accounting firm, are on the following pages. Additional required financial information is described in Item 15.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Board of Directors and Stockholders of </w:t>
      </w:r>
    </w:p>
    <w:p>
      <w:pPr>
        <w:pStyle w:val="TextBody"/>
        <w:bidi w:val="0"/>
        <w:jc w:val="left"/>
        <w:rPr>
          <w:rFonts w:ascii="Times New Roman" w:hAnsi="Times New Roman"/>
          <w:color w:val="000000"/>
          <w:sz w:val="20"/>
        </w:rPr>
      </w:pPr>
      <w:r>
        <w:rPr>
          <w:rFonts w:ascii="Times New Roman" w:hAnsi="Times New Roman"/>
          <w:color w:val="000000"/>
          <w:sz w:val="20"/>
        </w:rPr>
        <w:t>IRIDEX Corporation</w:t>
      </w:r>
    </w:p>
    <w:p>
      <w:pPr>
        <w:pStyle w:val="TextBody"/>
        <w:bidi w:val="0"/>
        <w:spacing w:before="120"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audited the accompanying consolidated balance sheets of IRIDEX Corporation (a Delaware corporation) and its subsidiaries (the “Company”) as of January 3, 2026 and December 28, 2024, and the related consolidated statements of operations, comprehensive loss, stockholders’ equity, and cash flows for each of the two years in the period ended January 3, 2026, and the related notes (collectively referred to as the “consolidated financial statements”). In our opinion, the consolidated financial statements present fairly, in all material respects, the financial position of the Company as of January 3, 2026 and December 28, 2024, and the results of its operations and its cash flows for each of the two years in the period ended January 3, 2026, in conformity with accounting principles generally accepted in the United States of America.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Inventory Valuation - Adjustments for Excess or Obsolete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described in Notes 2 and 5 to the consolidated financial statements, the Company has inventories with a carrying value of $7.9 million as of January 3, 2026. The Company’s inventories are stated at the lower of cost or net realizable value.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The Company’s inventories include demonstration units (“demos”) to facilitate the sale of products to prospective customers and loaners for existing customers to use while their product is under repair.</w:t>
        <w:b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net realizable value adjustments to inventories is a critical audit matter are the significant amount of judgment by management in developing the assumptions of the forecasted changes in demand, product life cycle and development plans, component cost trends, product pricing, physical deterioration and quality issues, which in turn led to significant auditor judgment, subjectivity, and effort in performing audit procedures and evaluating audit evidence relating to these factors. Additionally, for certain new product launches there may be limited historical data with which to evaluate forecasts.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obtaining an understanding of the Company’s inventory reserve review process, including the assumptions and data underlying the excess and obsolete inventory valuation. The procedures also included, among others, testing management’s process for developing the estimate of the adjustments for excess or obsolete inventories, testing the completeness and accuracy of the underlying data used in the estimate, and evaluating management’s assumptions of forecasted product demand. Evaluating management’s demand forecast for reasonableness involved considering historical sales by product, comparing prior period estimates to actual results, and determining whether the demand forecast used was consistent with evidence obtained in other areas of the audit.</w:t>
      </w:r>
    </w:p>
    <w:p>
      <w:pPr>
        <w:pStyle w:val="TextBody"/>
        <w:bidi w:val="0"/>
        <w:jc w:val="both"/>
        <w:rPr>
          <w:rFonts w:ascii="Times New Roman" w:hAnsi="Times New Roman"/>
          <w:color w:val="000000"/>
          <w:sz w:val="20"/>
        </w:rPr>
      </w:pPr>
      <w:r>
        <w:rPr>
          <w:rFonts w:ascii="Times New Roman" w:hAnsi="Times New Roman"/>
          <w:color w:val="000000"/>
          <w:sz w:val="20"/>
        </w:rPr>
        <w:t>/s/ BPM LLP</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2007.</w:t>
      </w:r>
    </w:p>
    <w:p>
      <w:pPr>
        <w:pStyle w:val="TextBody"/>
        <w:bidi w:val="0"/>
        <w:jc w:val="both"/>
        <w:rPr>
          <w:rFonts w:ascii="Times New Roman" w:hAnsi="Times New Roman"/>
          <w:color w:val="000000"/>
          <w:sz w:val="20"/>
        </w:rPr>
      </w:pPr>
      <w:r>
        <w:rPr>
          <w:rFonts w:ascii="Times New Roman" w:hAnsi="Times New Roman"/>
          <w:color w:val="000000"/>
          <w:sz w:val="20"/>
        </w:rPr>
        <w:t>San Jose, California</w:t>
      </w:r>
    </w:p>
    <w:p>
      <w:pPr>
        <w:pStyle w:val="TextBody"/>
        <w:bidi w:val="0"/>
        <w:jc w:val="both"/>
        <w:rPr>
          <w:rFonts w:ascii="Times New Roman" w:hAnsi="Times New Roman"/>
          <w:color w:val="000000"/>
          <w:sz w:val="20"/>
        </w:rPr>
      </w:pPr>
      <w:r>
        <w:rPr>
          <w:rFonts w:ascii="Times New Roman" w:hAnsi="Times New Roman"/>
          <w:color w:val="000000"/>
          <w:sz w:val="20"/>
        </w:rPr>
        <w:t>April 2, 2026</w:t>
      </w:r>
    </w:p>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7141"/>
        <w:gridCol w:w="146"/>
        <w:gridCol w:w="238"/>
        <w:gridCol w:w="834"/>
        <w:gridCol w:w="166"/>
        <w:gridCol w:w="146"/>
        <w:gridCol w:w="254"/>
        <w:gridCol w:w="887"/>
        <w:gridCol w:w="393"/>
      </w:tblGrid>
      <w:tr>
        <w:trPr/>
        <w:tc>
          <w:tcPr>
            <w:tcW w:w="7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2,000,000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600,000 shares of Series B convertible preferred stock as of January 3, 2026 and 0 as of December 28, 2024, respectively (liquidation preference of $6.0 million as of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63,500,000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17,306,521 shares as of January 3, 2026 and 16,636,380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9600" w:type="dxa"/>
        <w:jc w:val="left"/>
        <w:tblInd w:w="0" w:type="dxa"/>
        <w:tblLayout w:type="fixed"/>
        <w:tblCellMar>
          <w:top w:w="28" w:type="dxa"/>
          <w:left w:w="28" w:type="dxa"/>
          <w:bottom w:w="28" w:type="dxa"/>
          <w:right w:w="28" w:type="dxa"/>
        </w:tblCellMar>
      </w:tblPr>
      <w:tblGrid>
        <w:gridCol w:w="5926"/>
        <w:gridCol w:w="146"/>
        <w:gridCol w:w="310"/>
        <w:gridCol w:w="995"/>
        <w:gridCol w:w="166"/>
        <w:gridCol w:w="146"/>
        <w:gridCol w:w="357"/>
        <w:gridCol w:w="1143"/>
        <w:gridCol w:w="4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9" w:name="consolidated_statements_of_comprehensive"/>
      <w:bookmarkEnd w:id="19"/>
      <w:r>
        <w:rPr>
          <w:rFonts w:ascii="Times New Roman" w:hAnsi="Times New Roman"/>
          <w:b/>
          <w:color w:val="000000"/>
          <w:sz w:val="20"/>
        </w:rPr>
        <w:t>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8459" w:type="dxa"/>
        <w:jc w:val="left"/>
        <w:tblInd w:w="0" w:type="dxa"/>
        <w:tblLayout w:type="fixed"/>
        <w:tblCellMar>
          <w:top w:w="28" w:type="dxa"/>
          <w:left w:w="28" w:type="dxa"/>
          <w:bottom w:w="28" w:type="dxa"/>
          <w:right w:w="28" w:type="dxa"/>
        </w:tblCellMar>
      </w:tblPr>
      <w:tblGrid>
        <w:gridCol w:w="5131"/>
        <w:gridCol w:w="327"/>
        <w:gridCol w:w="978"/>
        <w:gridCol w:w="166"/>
        <w:gridCol w:w="146"/>
        <w:gridCol w:w="376"/>
        <w:gridCol w:w="1124"/>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 net of tax</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consolidated_statements_of_stockholders"/>
      <w:bookmarkEnd w:id="20"/>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tbl>
      <w:tblPr>
        <w:tblW w:w="11267" w:type="dxa"/>
        <w:jc w:val="left"/>
        <w:tblInd w:w="0" w:type="dxa"/>
        <w:tblLayout w:type="fixed"/>
        <w:tblCellMar>
          <w:top w:w="28" w:type="dxa"/>
          <w:left w:w="28" w:type="dxa"/>
          <w:bottom w:w="28" w:type="dxa"/>
          <w:right w:w="28" w:type="dxa"/>
        </w:tblCellMar>
      </w:tblPr>
      <w:tblGrid>
        <w:gridCol w:w="1201"/>
        <w:gridCol w:w="146"/>
        <w:gridCol w:w="146"/>
        <w:gridCol w:w="691"/>
        <w:gridCol w:w="146"/>
        <w:gridCol w:w="146"/>
        <w:gridCol w:w="233"/>
        <w:gridCol w:w="608"/>
        <w:gridCol w:w="146"/>
        <w:gridCol w:w="146"/>
        <w:gridCol w:w="146"/>
        <w:gridCol w:w="916"/>
        <w:gridCol w:w="146"/>
        <w:gridCol w:w="146"/>
        <w:gridCol w:w="236"/>
        <w:gridCol w:w="455"/>
        <w:gridCol w:w="146"/>
        <w:gridCol w:w="146"/>
        <w:gridCol w:w="214"/>
        <w:gridCol w:w="657"/>
        <w:gridCol w:w="166"/>
        <w:gridCol w:w="146"/>
        <w:gridCol w:w="416"/>
        <w:gridCol w:w="800"/>
        <w:gridCol w:w="166"/>
        <w:gridCol w:w="146"/>
        <w:gridCol w:w="240"/>
        <w:gridCol w:w="811"/>
        <w:gridCol w:w="166"/>
        <w:gridCol w:w="146"/>
        <w:gridCol w:w="264"/>
        <w:gridCol w:w="772"/>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including 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incentive shares under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connection to paydown of 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conjunction with extinguishment of convertible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17,306,521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552"/>
        <w:gridCol w:w="146"/>
        <w:gridCol w:w="304"/>
        <w:gridCol w:w="909"/>
        <w:gridCol w:w="166"/>
        <w:gridCol w:w="146"/>
        <w:gridCol w:w="343"/>
        <w:gridCol w:w="1026"/>
        <w:gridCol w:w="613"/>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inventory write-down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proceeds from issuance of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for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for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Payments on convertible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Series B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Taxes paid related to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(refunded) during the period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shares in connection to paydown of 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shares in conjunction with extinguishment of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ROU assets obtained with acquisition of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incentive shares under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Iridex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2" w:name="notes_to_consolidated_financial_statemen"/>
      <w:bookmarkEnd w:id="22"/>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sz w:val="20"/>
        </w:rPr>
      </w:pPr>
      <w:r>
        <w:rPr>
          <w:rFonts w:ascii="Times New Roman" w:hAnsi="Times New Roman"/>
          <w:i/>
          <w:color w:val="000000"/>
          <w:sz w:val="20"/>
        </w:rPr>
        <w:t>Description of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Corporation (“Iridex,” the “Company,” “we,” “us” or “our”) is a leading worldwide provider of therapeutic based laser systems, delivery devices and consumable instrumentation used to treat sight-threatening eye diseases in ophthalmology. The Company's ophthalmology products are sold in the United States and Germany predominantly through a direct sales force and internationally (aside from Germany) primarily through independent distributors.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consolidated financial statements include the accounts of Iridex and the Company's wholly owned subsidiaries. All significant intercompany accounts and transactions have been eliminated in consolidation. We have reclassified certain prior period amounts to conform to current period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fiscal year ends on the Saturday closest to December 31. Fiscal year 2025 ended on January 3, 2026 (“fiscal year 2025”), which had 53 weeks of operations. Fiscal 2024 ended on December 28, 2024 (“fiscal year 2024”), which had 52 weeks of operations.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The Company bases its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the Company’s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considers all highly liquid debt instruments with insignificant interest rate risk and an original maturity of three months or less when purchased to be cash equivalents. The Company’s cash equivalents consist primarily of cash deposits in money market funds that are available for withdrawal without restriction.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 The total receivables as of January 3, 2026 and December 28, 2024 were $9.5 million and $8.4 million,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The Company assesses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years ended January 3, 2026 and December 28, 2024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tbl>
      <w:tblPr>
        <w:tblW w:w="6371" w:type="dxa"/>
        <w:jc w:val="left"/>
        <w:tblInd w:w="0" w:type="dxa"/>
        <w:tblLayout w:type="fixed"/>
        <w:tblCellMar>
          <w:top w:w="28" w:type="dxa"/>
          <w:left w:w="28" w:type="dxa"/>
          <w:bottom w:w="28" w:type="dxa"/>
          <w:right w:w="28" w:type="dxa"/>
        </w:tblCellMar>
      </w:tblPr>
      <w:tblGrid>
        <w:gridCol w:w="2866"/>
        <w:gridCol w:w="146"/>
        <w:gridCol w:w="233"/>
        <w:gridCol w:w="533"/>
        <w:gridCol w:w="166"/>
        <w:gridCol w:w="146"/>
        <w:gridCol w:w="325"/>
        <w:gridCol w:w="741"/>
        <w:gridCol w:w="166"/>
        <w:gridCol w:w="146"/>
        <w:gridCol w:w="211"/>
        <w:gridCol w:w="481"/>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Returns Allowance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When determining the transaction price, The Company estimates the variable consideration as the most likely amount to which the Company expects to be entitled, and the Company includes the estimated amounts in the transaction price to the extent it is probable that a significant reversal of cumulative revenue will not occur when the uncertainty associated with the variable consideration is resolved. Material differences may result in the amount and timing of the Company’s revenue for any period if management made different judgments or utilized different estimates. The Company’s provision for sales returns is recorded net of the associated costs. As historically the returns have not been material, there was no provision for sales returns as of January 3, 2026 and December 28,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and include on-hand inventory physically held at our facility, sales demo inventory and service loaner inventory. Cost is determined on a standard cost basis which approximates actual cost on a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part of our normal business, we generally utilize various finished goods inventory as either sales demos to facilitate the sale of our products to prospective customers, or as loaners that we allow our existing customers to use while we repair their products. The Company is amortizing these demos and loaners over an estimated useful life of four years. The amortization of the demos is charged to sales and marketing expense while the amortization on the loaners is charged to cost of revenues. The gross value of demos and loaners was $3.0 million and $2.6 million and the accumulated amortization was $2.9 million and $2.1 million as of January 3, 2026 and December 28, 2024, respectively. The net book value of demos and loaners is charged to cost of revenues if and when such demos or loaners are sold.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Property and equipment are stated at cost less accumulated depreciation and amortization. Depreciation and amortization are calculated on a straight–line basis over the estimated useful lives of the assets, which is generally three year. Leasehold improvements are amortized over the lesser of their estimated useful lives or the lease term. Repairs and maintenance costs are expensed as incurred.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manages its operations as a single segment for the purposes of assessing performance and making operating decisions. The Company’s Chief Operating Decision Maker (“CODM”) is its Chief Executive Officer. The CODM allocates resources and evaluates the performance of the Company at the consolidated level using information about its revenues, gross profit, income from operations, and other key financial data. All significant operating decisions are based upon an analysis of the Company as one operating segment, which is the same as its reporting segment.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if an arrangement is a lease at inception. Operating leases are included in Operating lease right-of-use (“ROU”) assets, net and Operating lease liabilities in the Company’s consolidated balance sheets. As of January 3, 2026, the Company was not a party to finance lease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available practical expedient, we account for the lease and non-lease components as a single lease component.</w:t>
      </w:r>
    </w:p>
    <w:p>
      <w:pPr>
        <w:pStyle w:val="TextBody"/>
        <w:bidi w:val="0"/>
        <w:spacing w:before="120" w:after="283"/>
        <w:jc w:val="left"/>
        <w:rPr>
          <w:rFonts w:ascii="Times New Roman" w:hAnsi="Times New Roman"/>
          <w:sz w:val="20"/>
        </w:rPr>
      </w:pPr>
      <w:r>
        <w:rPr>
          <w:rFonts w:ascii="Times New Roman" w:hAnsi="Times New Roman"/>
          <w:i/>
          <w:color w:val="000000"/>
          <w:sz w:val="20"/>
        </w:rPr>
        <w:t>Valuation of Goodwill and Intangible Assets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2025 and determined that its goodwill was not impaired. As of January 3, 2026, the Company had not identified any factors that indicated there was an impairment of its goodwill and determined that no additional impairment analysis was then required.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Intangible assets with definite lives are amortized over the useful life of the asset. The Company reviews its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the Company conducts an impairment analysis in accordance with Accounting Standards Codification (“ASC”) 350, “Intangibles – Goodwill and Other” (“ASC 350”).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Company's revenues arise from the sale of laser consoles, delivery devices, consumables, service, and support activities. The Company also derives revenue from royalties from third parties which are typically based on the licensees’ net sales of products that utilize our technology. The Company's revenue is recognized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sales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w:t>
      </w:r>
      <w:r>
        <w:rPr>
          <w:color w:val="000000"/>
        </w:rPr>
        <w:t xml:space="preserve"> </w:t>
      </w:r>
      <w:r>
        <w:rPr>
          <w:rFonts w:ascii="Times New Roman" w:hAnsi="Times New Roman"/>
          <w:color w:val="000000"/>
          <w:sz w:val="20"/>
        </w:rPr>
        <w:t>periods that begin subsequent to the expiration of the standard two-year warranty. The customer can opt to purchase the service contract at the time of the system sale or after the initial system sale.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color w:val="000000"/>
        </w:rPr>
        <w:t xml:space="preserve"> </w:t>
      </w:r>
      <w:r>
        <w:rPr>
          <w:rFonts w:ascii="Times New Roman" w:hAnsi="Times New Roman"/>
          <w:color w:val="000000"/>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Royalty Revenue: The Company has royalty agreements with three</w:t>
      </w:r>
      <w:r>
        <w:rPr>
          <w:color w:val="000000"/>
        </w:rPr>
        <w:t xml:space="preserve"> </w:t>
      </w:r>
      <w:r>
        <w:rPr>
          <w:rFonts w:ascii="Times New Roman" w:hAnsi="Times New Roman"/>
          <w:color w:val="000000"/>
          <w:sz w:val="20"/>
        </w:rPr>
        <w:t>customers related to the sale of the Company’s intellectual property. Under the terms of these agreements, two customers are to remit a percentage of sales to the Company as the sales occur and one customer made an upfront prepayment for royalties.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the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licensees with a quarter in arrears, such revenue is recognized at the time it is reported and paid by the licensees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120" w:after="283"/>
        <w:ind w:left="54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pPr>
      <w:r>
        <w:rPr>
          <w:rFonts w:ascii="Times New Roman" w:hAnsi="Times New Roman"/>
          <w:color w:val="000000"/>
          <w:sz w:val="20"/>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w:t>
      </w:r>
      <w:r>
        <w:rPr>
          <w:color w:val="000000"/>
        </w:rPr>
        <w:t xml:space="preserve"> </w:t>
      </w:r>
      <w:r>
        <w:rPr>
          <w:rFonts w:ascii="Times New Roman" w:hAnsi="Times New Roman"/>
          <w:color w:val="000000"/>
          <w:sz w:val="20"/>
        </w:rPr>
        <w:t>million. Of this amount, management has fully-constrained and returned to Topcon the arrangement fee allocated to Belarus (approximately $0.2</w:t>
      </w:r>
      <w:r>
        <w:rPr>
          <w:color w:val="000000"/>
        </w:rPr>
        <w:t xml:space="preserve"> </w:t>
      </w:r>
      <w:r>
        <w:rPr>
          <w:rFonts w:ascii="Times New Roman" w:hAnsi="Times New Roman"/>
          <w:color w:val="000000"/>
          <w:sz w:val="20"/>
        </w:rPr>
        <w:t>million) because obtaining the necessary regulatory approvals and termination of existing distributor relationship was not feasible. During both the fiscal years ended 2025 and 2024, $1.5</w:t>
      </w:r>
      <w:r>
        <w:rPr>
          <w:color w:val="000000"/>
        </w:rPr>
        <w:t xml:space="preserve"> </w:t>
      </w:r>
      <w:r>
        <w:rPr>
          <w:rFonts w:ascii="Times New Roman" w:hAnsi="Times New Roman"/>
          <w:color w:val="000000"/>
          <w:sz w:val="20"/>
        </w:rPr>
        <w:t>million in revenue related to the exclusive distribution rights was recorded.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January 3, 2026, the Company had fully recognized deferred costs incurred to obtain revenue contracts with customers, which amounts were previously included in Prepaid expenses and other current assets and Other long-term assets in the Company’s consolidated balance sheets. Amortization expense was $23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thousand and $0.2 million, respectively, for the fiscal years ended January 3, 2026 and December 28, 2024. There were no impairment expenses for both the fiscal years ended January 3, 2026 and December 28,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January 3, 2026 and December 28, 2024, we recognized deferred costs incurred to fulfill a contract with a customer, net of accumulated amortization, of $0.5 million and $0.6 million, respectively, and included these amounts in Prepaid expenses and other current assets and Other long-term assets in the Company’s consolidated balance sheets. Amortization expense was $83 thousand, for both fiscal years ended January 3, 2026 and December 28, 2024. There were no impairment expenses for both the fiscal years ended January 3, 2026 and December 28,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Total revenues are recognized net of taxes collected from customers and remitted to governmental authorities in the accompanying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changes in our deferred revenue balances for the years ended January 3, 2026 and December 28, 2024 are as follows (in thousands): </w:t>
      </w:r>
    </w:p>
    <w:tbl>
      <w:tblPr>
        <w:tblW w:w="4110" w:type="dxa"/>
        <w:jc w:val="left"/>
        <w:tblInd w:w="0" w:type="dxa"/>
        <w:tblLayout w:type="fixed"/>
        <w:tblCellMar>
          <w:top w:w="28" w:type="dxa"/>
          <w:left w:w="28" w:type="dxa"/>
          <w:bottom w:w="28" w:type="dxa"/>
          <w:right w:w="28" w:type="dxa"/>
        </w:tblCellMar>
      </w:tblPr>
      <w:tblGrid>
        <w:gridCol w:w="2866"/>
        <w:gridCol w:w="146"/>
        <w:gridCol w:w="211"/>
        <w:gridCol w:w="676"/>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each of the years ended January 3, 2026 and December 28, 2024, approximately $2.1 million and $2.3 million were recognized pertaining to amounts deferred as of December 28, 2024 and as of December 30, 2023,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Warranty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consolidated statements of operations as costs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warranty reserves do not meet the criteria to have separate captions on the face of the consolidated balance sheets, we removed these captions and included those amounts in other current and long-term liabilities.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shipping and handling costs billed to customers are included in revenues and the associated expense is recorded in cost of revenues for all periods presented. Shipping and handling costs billed to customers amounted to $0.4 million and $0.3 million during fiscal years 2025 and 2024, respectively.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expenditures are charged to operations as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Advertising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Advertising and promotion costs are expensed as they are incurred; such costs were approximately $17 thousand in fiscal year 2025 and $20 thousand in fiscal year 2024 and are included in sales and marketing expenses in the accompanying consolidated statements of operations.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The Company annually evaluates the realizability of its deferred tax assets by assessing its valuation allowance and by adjusting the amount of such allowance, if necessary. The factors used to assess the likelihood of realization include the Company's forecast of future taxable income and available tax planning strategies that could be implemented to realize the net deferred tax assets. In fiscal year 2025, based on the Company’s history of earnings and its forecasted losses, management believes on the more likely than not basis that a full valuation allowance is required. Accordingly, in the fourth quarter of fiscal year 2025, the Company provided a full valuation allowance on its federal and states deferred tax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Uncertainty in 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January 3, 2026 and December 28,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for Stock-Based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stock-based compensation granted to employees and directors, including employees stock option awards and restricted stock units in accordance with ASC 718, “Compensation – Stock Compensation” (“ASC 718”). Accordingly, stock-based compensation cost is measured at grant date, based on the fair value of the award. Stock-based compensation is recognized as expense on a ratable basis over the requisite service period of the award.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values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restricted stock units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cash and cash equivalents are deposited in demand and money market accounts. Deposits held with banks may exceed the amount of insurance provided on such deposits. Generally, these deposits may be redeemed upon demand and therefore, bear minimal risk.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markets its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the Company has not experienced any significant losses related to individual customers or a group of customers in any particular geographic area. For the year ended January 3, 2026, one customer, Topcon, accounted for greater than 10% of total revenues, representing 32%. For the year ended December 28, 2024, one customer, Topcon, accounted for greater than 10% of total revenues, representing 35%. For the year ended January 3, 2026, one customer, Topcon, accounted for over 10% of our receivables, representing 20%. As of December 28, 2024, one customer, Topcon, accounted for over 10% of our receivables, representing 29%.</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products require approvals from the Food and Drug Administration and international regulatory agencies prior to commercialized sales. Our future products may not receive the required approvals. If the Company was denied such approvals, or if such approvals were delayed, it would have a material adverse impact on its business, results of operations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Reliance on Certain Suppliers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Certain components and services used to manufacture and develop our products are presently available from only a few limited number of suppliers or vendors. The loss of any of these suppliers or vendors would potentially require a significant level of hardware and/or software development efforts to incorporate the products or services into the Company’s products.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Income (Loss) per Share</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Basic net income (loss)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w:t>
      </w:r>
      <w:r>
        <w:rPr>
          <w:rFonts w:ascii="Times New Roman" w:hAnsi="Times New Roman"/>
          <w:i/>
          <w:color w:val="000000"/>
          <w:sz w:val="20"/>
        </w:rPr>
        <w:t>See Note 16 - Computation of Basic and Diluted 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the Company’s Consolidated Balance Sheets in the stockholders’ equity section as a component of accumulated other comprehensive income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For the years ended January 3, 2026 and December 28, 2024, approximately $0.2 million of amortization expenses were recognized in each period.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Variable Interest Entities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January 3, 2026, the Company consolidated a new foreign subsidiary in accordance with accounting standards for consolidation of variable interest entities (“VIEs”). The Company consolidates the subsidiary because it is the primary beneficiary. Noncontrolling interests in these entities were immaterial and $0 as of January 3, 2026 and December 28, 2024, respectively. The Company will consolidate certain general and administrative expenses of this subsidiary. The consolidated total assets and liabilities related to the above consolidated VIE, net of intercompany eliminations, were both $74 thousand, as of January 3, 2026, and both $0 as of December 28, 2024. The Company’s financial risk in the VIE primarily includes its equity investment in the VIE and liabilities related to an office lease.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the Financial Accounting Standards Board (“FASB”) issued ASU 2023-09 “Income Taxes (Topics 740): Improvements to Income Tax Disclosures” to expand the disclosure requirements for income taxes, specifically related to the rate reconciliation and income taxes paid. ASU 2023-09 is effective for the Company’s annual periods after December 15, 2024. The Company adopted this ASU during the fourth quarter of fiscal year 2025. The adopted ASU had no material impact on the Company's consolidated financial statements as it only impacted disclosures.</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July 2025, the FASB issued ASU 2025-05 “Financial Instruments—Credit Losses (Topic 326): Measurement of Credit Losses for Accounts Receivable and Contract Assets”, providing a practical expedient available for all entities to assume that current conditions as of the balance sheet date remain unchanged for the asset’s remaining life. This update will be effective for fiscal years beginning after December 15, 2025, and interim periods within those annual reporting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adoption is permitted. The Company does not expect that the adoption of this accounting standard to have a material impact on the Company’s consolidated financial statements.</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Related Party - Topcon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January 3, 2026, Topcon holds a 9.3% voting interest in the Company. It currently does not have significant influence over the Company’s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Topcon resells certain of our products as our exclusive distributor in certain international regions. At the same time, the Company also purchases certain raw materials from Topcon. During fiscal year 2025, the Company’s revenues related to Topcon amounted to approximately $17.0 million, including $1.5 million recognized as exclusive distribution rights revenue. During fiscal year 2024, the Company’s revenues related to Topcon amounted to approximately $16.3 million, including $1.5 million recognized exclusive distribution rights revenue. The Company’s purchases from Topcon during fiscal year 2025 and 2024 amounted to $0.6 million and $1.0 million, respectively. As of January 3, 2026, the amounts receivable from and payable to Topcon were $1.9 million and $0.1 million, respectively. As of December 28, 2024, the amounts receivable from and payable to Topcon were $2.5 million and $0.6 million, respectively.</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determining fair value, the Company utilizes valuation techniques that maximize the use of observable inputs and minimize the use of unobservable inputs to the extent possible and considers counterparty credit risk in its assessment of fair value.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amounts of our financial assets and liabilities, including cash and cash equivalents, accounts receivable, accounts payable, and accrued expenses as of January 3, 2026 and December 28, 2024, approximate fair value because of the short maturity of these instruments. The Company does not recognize any non-financial assets at fair value.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January 3, 2026 and December 28, 2024, financial assets and liabilities measured and recognized at fair value on a recurring basis and classified under the appropriate level of the fair value hierarchy as described above were as follows (in thousands):</w:t>
      </w:r>
    </w:p>
    <w:p>
      <w:pPr>
        <w:pStyle w:val="TextBody"/>
        <w:bidi w:val="0"/>
        <w:jc w:val="left"/>
        <w:rPr/>
      </w:pPr>
      <w:r>
        <w:rPr/>
        <w:t> </w:t>
      </w:r>
    </w:p>
    <w:tbl>
      <w:tblPr>
        <w:tblW w:w="9630" w:type="dxa"/>
        <w:jc w:val="left"/>
        <w:tblInd w:w="0" w:type="dxa"/>
        <w:tblLayout w:type="fixed"/>
        <w:tblCellMar>
          <w:top w:w="28" w:type="dxa"/>
          <w:left w:w="28" w:type="dxa"/>
          <w:bottom w:w="28" w:type="dxa"/>
          <w:right w:w="28" w:type="dxa"/>
        </w:tblCellMar>
      </w:tblPr>
      <w:tblGrid>
        <w:gridCol w:w="2001"/>
        <w:gridCol w:w="146"/>
        <w:gridCol w:w="211"/>
        <w:gridCol w:w="421"/>
        <w:gridCol w:w="146"/>
        <w:gridCol w:w="146"/>
        <w:gridCol w:w="239"/>
        <w:gridCol w:w="391"/>
        <w:gridCol w:w="146"/>
        <w:gridCol w:w="146"/>
        <w:gridCol w:w="239"/>
        <w:gridCol w:w="391"/>
        <w:gridCol w:w="146"/>
        <w:gridCol w:w="146"/>
        <w:gridCol w:w="211"/>
        <w:gridCol w:w="421"/>
        <w:gridCol w:w="146"/>
        <w:gridCol w:w="146"/>
        <w:gridCol w:w="211"/>
        <w:gridCol w:w="421"/>
        <w:gridCol w:w="146"/>
        <w:gridCol w:w="146"/>
        <w:gridCol w:w="239"/>
        <w:gridCol w:w="391"/>
        <w:gridCol w:w="146"/>
        <w:gridCol w:w="146"/>
        <w:gridCol w:w="239"/>
        <w:gridCol w:w="391"/>
        <w:gridCol w:w="146"/>
        <w:gridCol w:w="146"/>
        <w:gridCol w:w="211"/>
        <w:gridCol w:w="42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28,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our inventories are as follows (in thousands): </w:t>
      </w:r>
    </w:p>
    <w:p>
      <w:pPr>
        <w:pStyle w:val="TextBody"/>
        <w:bidi w:val="0"/>
        <w:jc w:val="left"/>
        <w:rPr/>
      </w:pPr>
      <w:r>
        <w:rPr/>
        <w:t> </w:t>
      </w:r>
    </w:p>
    <w:tbl>
      <w:tblPr>
        <w:tblW w:w="4950" w:type="dxa"/>
        <w:jc w:val="left"/>
        <w:tblInd w:w="0" w:type="dxa"/>
        <w:tblLayout w:type="fixed"/>
        <w:tblCellMar>
          <w:top w:w="28" w:type="dxa"/>
          <w:left w:w="28" w:type="dxa"/>
          <w:bottom w:w="28" w:type="dxa"/>
          <w:right w:w="28" w:type="dxa"/>
        </w:tblCellMar>
      </w:tblPr>
      <w:tblGrid>
        <w:gridCol w:w="1516"/>
        <w:gridCol w:w="146"/>
        <w:gridCol w:w="352"/>
        <w:gridCol w:w="953"/>
        <w:gridCol w:w="146"/>
        <w:gridCol w:w="146"/>
        <w:gridCol w:w="357"/>
        <w:gridCol w:w="114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Property and Equipment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our property and equipment are as follows (in thousands):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4111"/>
        <w:gridCol w:w="146"/>
        <w:gridCol w:w="290"/>
        <w:gridCol w:w="1015"/>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ind w:left="0" w:right="0" w:firstLine="490"/>
        <w:jc w:val="left"/>
        <w:rPr>
          <w:rFonts w:ascii="Times New Roman" w:hAnsi="Times New Roman"/>
          <w:sz w:val="20"/>
        </w:rPr>
      </w:pPr>
      <w:r>
        <w:rPr>
          <w:rFonts w:ascii="Times New Roman" w:hAnsi="Times New Roman"/>
          <w:color w:val="000000"/>
          <w:sz w:val="20"/>
        </w:rPr>
        <w:t>Depreciation expense related to property and equipment was $200</w:t>
      </w:r>
      <w:r>
        <w:rPr>
          <w:rFonts w:ascii="Times New Roman" w:hAnsi="Times New Roman"/>
          <w:color w:val="000000"/>
          <w:sz w:val="24"/>
        </w:rPr>
        <w:t xml:space="preserve"> </w:t>
      </w:r>
      <w:r>
        <w:rPr>
          <w:rFonts w:ascii="Times New Roman" w:hAnsi="Times New Roman"/>
          <w:color w:val="000000"/>
          <w:sz w:val="20"/>
        </w:rPr>
        <w:t>thousand and $244</w:t>
      </w:r>
      <w:r>
        <w:rPr>
          <w:rFonts w:ascii="Times New Roman" w:hAnsi="Times New Roman"/>
          <w:color w:val="000000"/>
          <w:sz w:val="24"/>
        </w:rPr>
        <w:t xml:space="preserve"> </w:t>
      </w:r>
      <w:r>
        <w:rPr>
          <w:rFonts w:ascii="Times New Roman" w:hAnsi="Times New Roman"/>
          <w:color w:val="000000"/>
          <w:sz w:val="20"/>
        </w:rPr>
        <w:t>thousand</w:t>
      </w:r>
      <w:r>
        <w:rPr>
          <w:rFonts w:ascii="Times New Roman" w:hAnsi="Times New Roman"/>
          <w:color w:val="000000"/>
          <w:sz w:val="24"/>
        </w:rPr>
        <w:t xml:space="preserve"> </w:t>
      </w:r>
      <w:r>
        <w:rPr>
          <w:rFonts w:ascii="Times New Roman" w:hAnsi="Times New Roman"/>
          <w:color w:val="000000"/>
          <w:sz w:val="20"/>
        </w:rPr>
        <w:t xml:space="preserve">for the fiscal years 2025 and 2024, respectively. </w:t>
      </w:r>
    </w:p>
    <w:p>
      <w:pPr>
        <w:pStyle w:val="TextBody"/>
        <w:bidi w:val="0"/>
        <w:jc w:val="left"/>
        <w:rPr>
          <w:rFonts w:ascii="Times New Roman" w:hAnsi="Times New Roman"/>
          <w:b/>
          <w:color w:val="000000"/>
          <w:sz w:val="20"/>
        </w:rPr>
      </w:pPr>
      <w:r>
        <w:rPr>
          <w:rFonts w:ascii="Times New Roman" w:hAnsi="Times New Roman"/>
          <w:b/>
          <w:color w:val="000000"/>
          <w:sz w:val="20"/>
        </w:rPr>
        <w:t>7. Intangible Assets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components of our purchased intangible assets as of January 3, 2026 are as follows (in thousands): </w:t>
      </w:r>
    </w:p>
    <w:tbl>
      <w:tblPr>
        <w:tblW w:w="9368" w:type="dxa"/>
        <w:jc w:val="left"/>
        <w:tblInd w:w="0" w:type="dxa"/>
        <w:tblLayout w:type="fixed"/>
        <w:tblCellMar>
          <w:top w:w="28" w:type="dxa"/>
          <w:left w:w="28" w:type="dxa"/>
          <w:bottom w:w="28" w:type="dxa"/>
          <w:right w:w="28" w:type="dxa"/>
        </w:tblCellMar>
      </w:tblPr>
      <w:tblGrid>
        <w:gridCol w:w="1981"/>
        <w:gridCol w:w="146"/>
        <w:gridCol w:w="811"/>
        <w:gridCol w:w="146"/>
        <w:gridCol w:w="434"/>
        <w:gridCol w:w="871"/>
        <w:gridCol w:w="146"/>
        <w:gridCol w:w="146"/>
        <w:gridCol w:w="211"/>
        <w:gridCol w:w="571"/>
        <w:gridCol w:w="146"/>
        <w:gridCol w:w="146"/>
        <w:gridCol w:w="291"/>
        <w:gridCol w:w="790"/>
        <w:gridCol w:w="146"/>
        <w:gridCol w:w="146"/>
        <w:gridCol w:w="260"/>
        <w:gridCol w:w="521"/>
        <w:gridCol w:w="146"/>
        <w:gridCol w:w="146"/>
        <w:gridCol w:w="97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br/>
              <w:t>Annual</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 Years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components of our purchased intangible assets as of December 28, 2024 are as follows (in thousands): </w:t>
      </w:r>
    </w:p>
    <w:p>
      <w:pPr>
        <w:pStyle w:val="TextBody"/>
        <w:bidi w:val="0"/>
        <w:jc w:val="left"/>
        <w:rPr/>
      </w:pPr>
      <w:r>
        <w:rPr/>
        <w:t> </w:t>
      </w:r>
    </w:p>
    <w:tbl>
      <w:tblPr>
        <w:tblW w:w="9418" w:type="dxa"/>
        <w:jc w:val="left"/>
        <w:tblInd w:w="0" w:type="dxa"/>
        <w:tblLayout w:type="fixed"/>
        <w:tblCellMar>
          <w:top w:w="28" w:type="dxa"/>
          <w:left w:w="28" w:type="dxa"/>
          <w:bottom w:w="28" w:type="dxa"/>
          <w:right w:w="28" w:type="dxa"/>
        </w:tblCellMar>
      </w:tblPr>
      <w:tblGrid>
        <w:gridCol w:w="1981"/>
        <w:gridCol w:w="146"/>
        <w:gridCol w:w="811"/>
        <w:gridCol w:w="146"/>
        <w:gridCol w:w="499"/>
        <w:gridCol w:w="1001"/>
        <w:gridCol w:w="146"/>
        <w:gridCol w:w="146"/>
        <w:gridCol w:w="211"/>
        <w:gridCol w:w="571"/>
        <w:gridCol w:w="146"/>
        <w:gridCol w:w="146"/>
        <w:gridCol w:w="291"/>
        <w:gridCol w:w="790"/>
        <w:gridCol w:w="146"/>
        <w:gridCol w:w="146"/>
        <w:gridCol w:w="211"/>
        <w:gridCol w:w="571"/>
        <w:gridCol w:w="146"/>
        <w:gridCol w:w="146"/>
        <w:gridCol w:w="102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br/>
              <w:t>Annual</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2.93 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 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5.17 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Aggregate amortization expense for fiscal years 2025 and 2024 were $0.3 million for each year. The amortization of developed technology was charged to research and development expense and the amortization of customer relations and trade names was charged to sales and marketing expense. We started amortization of in-process research and development in the fourth quarter of fiscal year 2022, as it was related to the release of a new system.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Estimated future amortization expense for purchased intangible assets is as follows (in thousands): </w:t>
      </w:r>
    </w:p>
    <w:p>
      <w:pPr>
        <w:pStyle w:val="TextBody"/>
        <w:bidi w:val="0"/>
        <w:jc w:val="left"/>
        <w:rPr/>
      </w:pPr>
      <w:r>
        <w:rPr/>
        <w:t> </w:t>
      </w:r>
    </w:p>
    <w:tbl>
      <w:tblPr>
        <w:tblW w:w="2250" w:type="dxa"/>
        <w:jc w:val="left"/>
        <w:tblInd w:w="0" w:type="dxa"/>
        <w:tblLayout w:type="fixed"/>
        <w:tblCellMar>
          <w:top w:w="28" w:type="dxa"/>
          <w:left w:w="28" w:type="dxa"/>
          <w:bottom w:w="28" w:type="dxa"/>
          <w:right w:w="28" w:type="dxa"/>
        </w:tblCellMar>
      </w:tblPr>
      <w:tblGrid>
        <w:gridCol w:w="1081"/>
        <w:gridCol w:w="146"/>
        <w:gridCol w:w="211"/>
        <w:gridCol w:w="421"/>
        <w:gridCol w:w="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8. Goodwill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$965 thousand as of both January 3, 2026 and December 28, 2024.</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the price of its common stock is an important component of the fair value calculation. If the Company’s common stock price continues to experience significant price and volume fluctuations, it will impact the fair value of the reporting unit and can lead to potential impairment in future periods. The Company performed its annual impairment test during the second quarter of fiscal year 2025 and determined that its goodwill was not impaired. The determination of whether any potential impairment of goodwill exists is based upon an impairment test performed in accordance with ASC 350. There was no impairment of goodwill recognized during fiscal years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9. Accrued Expenses and Other Current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our accrued expenses and other current liabilities are as follows (in thousands):</w:t>
      </w:r>
    </w:p>
    <w:p>
      <w:pPr>
        <w:pStyle w:val="TextBody"/>
        <w:bidi w:val="0"/>
        <w:jc w:val="left"/>
        <w:rPr/>
      </w:pPr>
      <w:r>
        <w:rPr/>
        <w:t> </w:t>
      </w:r>
    </w:p>
    <w:tbl>
      <w:tblPr>
        <w:tblW w:w="6105" w:type="dxa"/>
        <w:jc w:val="left"/>
        <w:tblInd w:w="0" w:type="dxa"/>
        <w:tblLayout w:type="fixed"/>
        <w:tblCellMar>
          <w:top w:w="28" w:type="dxa"/>
          <w:left w:w="28" w:type="dxa"/>
          <w:bottom w:w="28" w:type="dxa"/>
          <w:right w:w="28" w:type="dxa"/>
        </w:tblCellMar>
      </w:tblPr>
      <w:tblGrid>
        <w:gridCol w:w="2671"/>
        <w:gridCol w:w="146"/>
        <w:gridCol w:w="352"/>
        <w:gridCol w:w="953"/>
        <w:gridCol w:w="146"/>
        <w:gridCol w:w="146"/>
        <w:gridCol w:w="403"/>
        <w:gridCol w:w="1097"/>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Temporary help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4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Convertible Preferred Shares and Convertible 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18, 2025, the Company filed a Certificate of Designation, Preferences and Rights of the Series B Preferred Stock (the “Series B Certificate of Designation”) authorizing the Company to issue up to 1,000,000 shares of authorized undesignated preferred stock as shares of Series B Preferred stock, par value $0.01 per share (the “Series B Preferred Stock”). At the Company’s annual meeting of stockholders held on June 11, 2025 (the “Annual Meeting”), the Company’s stockholders approved an amendment and restatement of the Company’s Amended and Restated Certificate of Incorporation (the “Charter”) in the form of the Amended and Restated Certificate of Incorporation (the “Restated Charter”) which, among other matters, authorized 1,000,000 shares are designated as Series B Preferred Stock and 1,000,000 shares of undesignated preferred stock, for a total of 2,000,000 shares of preferred stock and reestablished the designations, powers, preferences and relative and other special rights and the qualifications, limitations and restrictions of the preferred stock, including the Company’s Series B Preferred Stock, which, with respect to the Series B Preferred Stock and except as noted in the Company’s definitive proxy statement filed with the SEC on April 28, 2025 as supplemented by its definitive additional materials filed with the SEC on May 20, 2025 and June 2, 2025, are substantially the same rights for the Series B Preferred Stock as are provided for pursuant to the Series B Certificate of Designation. Following the stockholders’ approval of the form of Restated Charter, the Company filed the Restated Charter with the Secretary of State of the State of Delaware on June 11, 2025. Also, with the approval of the Restated Charter, certain provisions related to the Series B Preferred Stock were revised, allowing the Series B Preferred Stock to meet the definition of permanent equity from an accounting perspective. As a result, the Company reclassified the Series B Preferred Stock from mezzanine equity to permanent equity in the second fiscal quarter of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19, 2025, the Company entered into a securities purchase agreement (the “Novel Securities Agreement”) and a Note Purchase Agreement (the “Novel Note Purchase Agreement”) with Novel Inspirational International Co., Ltd. (“Novel”). Pursuant to the Novel Securities Agreement and the Novel Note Purchase Agreement, the Company issued 600,000 shares of its Series B Preferred Stock at $10.00 per share, initially convertible into 3,000,000 shares of the Company’s common stock, par value $0.01 per share and an initial convertible promissory note in an aggregate principal amount of $4,000,000 (the “Initial Novel Note” and together with the Novel Growth Notes (as defined below), the “Novel Notes”). The Initial Novel Note is convertible into 400,000 shares of the Company’s Series B Preferred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Concurrently with the purchase of the shares of Series B Preferred Stock and the Initial Novel Note, the Company also entered into an Investor Rights Agreement and an amendment to the Investor Rights Agreement (together,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the Company’s board of directors; and (iii) the right to approve certain corporate actions of the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Initial Novel Note has a 36-month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Novel’s option into shares of the Series B Preferred Stock at an initial conversion price of $10.00, subject to adjustments set forth in the Initial Novel Note. In addition, the Company incurred $0.4 million in debt issuance costs. For fiscal years 2025 and 2024, debt issuance costs of $94 thousand and $0 thousand, respectively, were recorded on a straight-line basis over the term of the loan. The accretion of debt issuance costs under that under method is deemed materially consistent with the effective interest rate method.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the payments of notes payable as of January 3, 2026 (in thousands):</w:t>
      </w:r>
    </w:p>
    <w:p>
      <w:pPr>
        <w:pStyle w:val="TextBody"/>
        <w:bidi w:val="0"/>
        <w:spacing w:before="120" w:after="283"/>
        <w:ind w:left="0" w:right="0" w:firstLine="490"/>
        <w:jc w:val="left"/>
        <w:rPr/>
      </w:pPr>
      <w:r>
        <w:rPr/>
        <w:t> </w:t>
      </w:r>
    </w:p>
    <w:tbl>
      <w:tblPr>
        <w:tblW w:w="2529" w:type="dxa"/>
        <w:jc w:val="left"/>
        <w:tblInd w:w="0" w:type="dxa"/>
        <w:tblLayout w:type="fixed"/>
        <w:tblCellMar>
          <w:top w:w="28" w:type="dxa"/>
          <w:left w:w="28" w:type="dxa"/>
          <w:bottom w:w="28" w:type="dxa"/>
          <w:right w:w="28" w:type="dxa"/>
        </w:tblCellMar>
      </w:tblPr>
      <w:tblGrid>
        <w:gridCol w:w="1381"/>
        <w:gridCol w:w="146"/>
        <w:gridCol w:w="218"/>
        <w:gridCol w:w="593"/>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 As of January 3, 2026, the Company has not issued any Growth Notes.</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On August 4, 2024, the Company entered into a securities purchase agreement (the “Lind Purchase Agreement”) with Lind Global Asset Management IX LLC (“Lind”), an entity managed by The Lind Partners, LLC, relating to (i) the issuance and sale to Lind of a senior convertible promissory note in the principal amount of $4.2 million for a purchase price of $3.5 million (the “Initial Lind Note”) and (ii) a subsequent contingent senior convertible promissory note in the amount of $1.8 million for a purchase price of $1.5 million (the “Subsequent Lind Note” and, together with the Initial Note, the “Lind Notes” and together with the Lind Purchase Agreement and the Lind Notes, the “Lind Transaction Documents”). The Initial Lind Note was issued on August 7, 2024 and the Subsequent Lind Note has not been issued as of the date hereof. The Lind Notes are convertible into shares of the Company’s common stock, $0.01 par value (the “Common Stock” and such shares issued upon conversion, the “Note Shares”) at Lind’s option at an initial conversion price of $2.44, subject to any adjustments as set forth in the Lind Notes; provided that no adjustment shall result in a conversion price that is less than $0.39 per share.</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Pursuant to the terms of the Lind Purchase Agreement, as of December 28, 2024, the Company issued 126,968 shares of Common Stock to Lind.</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 xml:space="preserve">The total number of shares of Common Stock issuable pursuant to the terms of the Lind Transaction Documents was capped at (i) prior to the receipt of stockholder approval, 3,300,231 (equal to 19.99% of the number of shares of Common Stock outstanding as of August 4, 2024), and (ii) following the receipt of stockholder approval, 4,952,823 (equal to 30% of the number of shares of Common Stock outstanding as of August 4, 2024). </w:t>
      </w:r>
    </w:p>
    <w:p>
      <w:pPr>
        <w:pStyle w:val="TextBody"/>
        <w:bidi w:val="0"/>
        <w:spacing w:before="120" w:after="160"/>
        <w:ind w:left="0" w:right="0" w:firstLine="490"/>
        <w:jc w:val="left"/>
        <w:rPr>
          <w:rFonts w:ascii="Times New Roman" w:hAnsi="Times New Roman"/>
          <w:color w:val="212529"/>
          <w:sz w:val="20"/>
        </w:rPr>
      </w:pPr>
      <w:r>
        <w:rPr>
          <w:rFonts w:ascii="Times New Roman" w:hAnsi="Times New Roman"/>
          <w:color w:val="212529"/>
          <w:sz w:val="20"/>
        </w:rPr>
        <w:t>The $4.2 million convertible debt was issued with an original issue discount (“OID”) of $0.7 million. In addition, the Company incurred $0.9 million debt issuance costs, including $0.5 million legal expenses, $250 thousand relating to the First Incentive Share Installment (as defined in the Lind Purchase Agreement) and $105 thousand in commitment fees. During the years ended January 3, 2026 and December 28, 2024, $58 thousand and $146 thousand, respectively, of the original issue discount and $169 thousand and $182 thousand, respectively, of debt issuance costs (as an interest expense) were recorded on a straight-line basis over the term of the debt. The accretion of the OID and amortization of debt issuance costs under that method is deemed materially consistent with the effective interest rate method.</w:t>
      </w:r>
    </w:p>
    <w:p>
      <w:pPr>
        <w:pStyle w:val="TextBody"/>
        <w:bidi w:val="0"/>
        <w:spacing w:before="0" w:after="160"/>
        <w:ind w:left="0" w:right="0" w:firstLine="490"/>
        <w:jc w:val="left"/>
        <w:rPr>
          <w:rFonts w:ascii="Times New Roman" w:hAnsi="Times New Roman"/>
          <w:color w:val="000000"/>
          <w:sz w:val="20"/>
        </w:rPr>
      </w:pPr>
      <w:r>
        <w:rPr>
          <w:rFonts w:ascii="Times New Roman" w:hAnsi="Times New Roman"/>
          <w:color w:val="000000"/>
          <w:sz w:val="20"/>
        </w:rPr>
        <w:t xml:space="preserve">As of January 3, 2026, there was no outstanding balance for short term or long term debt, OID, or debt issuance costs related to the Lind Note. As of December 28, 2024, the convertible note payable outstanding totaled $2.7 million of debt, net of the remaining balances of $0.6 million of OID and $0.7 million of debt issuance costs. As of December 28, 2024, the short term and long term debt (Notes Payable) were $1.7 million and $1.0 million, respectively. </w:t>
      </w:r>
    </w:p>
    <w:p>
      <w:pPr>
        <w:pStyle w:val="TextBody"/>
        <w:bidi w:val="0"/>
        <w:ind w:left="0" w:right="0" w:firstLine="490"/>
        <w:jc w:val="left"/>
        <w:rPr>
          <w:rFonts w:ascii="Times New Roman" w:hAnsi="Times New Roman"/>
          <w:color w:val="212529"/>
          <w:sz w:val="20"/>
        </w:rPr>
      </w:pPr>
      <w:r>
        <w:rPr>
          <w:rFonts w:ascii="Times New Roman" w:hAnsi="Times New Roman"/>
          <w:color w:val="212529"/>
          <w:sz w:val="20"/>
        </w:rPr>
        <w:t>On March 18, 2025, the Company also entered into that certain repayment notice (the “Repayment Notice”) with Lind Global Asset Management IX LLC (“Lind”). Pursuant to the Repayment Notice and upon the subsequent delivery of a cash payment to Lind in the amount of $3,330,999.99,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 (the “Lind Note”). As a result of the early repayment of the Lind Note on March 19, 2025, the Company recognized a loss of $1.3 million on the extinguishment of the convertible note payable, reflected in the consolidated statements of operations as other expense, net.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lease our main operating facility in Mountain View, California, under a non-cancelable operating lease through August 31, 2026. There are no further options or rights to extend the term of this lease.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other operating lease commitments consist of facility and office equipment leases. Operating lease expense was $1.1 million for both fiscal years ended January 3, 2026 and December 28, 2024. Cash paid for operating leases totaled $1.2 million and $1.1 million, respectively for fiscal years 2025 and 2024. As of January 3, 2026, the weighted average discount rate used in calculating the present value of lease payments was 5.5% and the remaining lease term for our operating leases was 1.1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January 3, 2026 (in thousands):</w:t>
      </w:r>
    </w:p>
    <w:tbl>
      <w:tblPr>
        <w:tblW w:w="4843" w:type="dxa"/>
        <w:jc w:val="left"/>
        <w:tblInd w:w="0" w:type="dxa"/>
        <w:tblLayout w:type="fixed"/>
        <w:tblCellMar>
          <w:top w:w="28" w:type="dxa"/>
          <w:left w:w="28" w:type="dxa"/>
          <w:bottom w:w="28" w:type="dxa"/>
          <w:right w:w="28" w:type="dxa"/>
        </w:tblCellMar>
      </w:tblPr>
      <w:tblGrid>
        <w:gridCol w:w="3226"/>
        <w:gridCol w:w="146"/>
        <w:gridCol w:w="419"/>
        <w:gridCol w:w="84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purchase commitments consist primarily of non-cancellable purchase orders with vendors to manufacture certain components and ophthalmic instruments. As of January 3, 2026, our future minimum payments through fiscal year 2028 for our purchase commitments were approximately $24.8 million, with $24.6 million committed for the next 12 months.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License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obligated to pay royalties equivalent to 1% to 5% of sales on certain products under certain license agreements with termination dates through the end of 2033. Royalty expense, charged to cost of revenues, was approximately $0.3 million and $0.4 million for fiscal years 2025 and 2024,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Indemnification Arrangements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In general, management believes that ordinary course of business matters will not have a material adverse effect on our financial position or results of operations and are adequately covered by our liability insurance. However, it is possible that consolidated cash flows or results of operations could be materially affected in any particular period by the unfavorable resolution of one of more of these contingencies or because of the diversion of management’s attention and the incurrence of significant expenses. We are not currently party to any material 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11, 2008, the shareholders approved the adoption of the 2008 Equity Incentive Plan, (the “Incentive Plan”). There are no material changes in the Incentive Plan from the 1998 Stock Plan (the “1998 Plan”). In 2014, 2017, 2018, 2019, 2021, 2023, and 2025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as amended, is 6,850,000 shares plus any shares subject to stock options or similar awards granted under the 1998 Plan that expire or otherwise terminate without having been exercised in full and shares issued pursuant to awards granted under the 1998 Plan that are forfeited to us on or after February 23, 2008, which was the date the 1998 Plan expired.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represents the shares activity and the total number of shares available for grant under the Incentive Plan:</w:t>
      </w:r>
    </w:p>
    <w:p>
      <w:pPr>
        <w:pStyle w:val="TextBody"/>
        <w:bidi w:val="0"/>
        <w:jc w:val="left"/>
        <w:rPr/>
      </w:pPr>
      <w:r>
        <w:rPr/>
        <w:t> </w:t>
      </w:r>
    </w:p>
    <w:tbl>
      <w:tblPr>
        <w:tblW w:w="4330" w:type="dxa"/>
        <w:jc w:val="left"/>
        <w:tblInd w:w="0" w:type="dxa"/>
        <w:tblLayout w:type="fixed"/>
        <w:tblCellMar>
          <w:top w:w="28" w:type="dxa"/>
          <w:left w:w="28" w:type="dxa"/>
          <w:bottom w:w="28" w:type="dxa"/>
          <w:right w:w="28" w:type="dxa"/>
        </w:tblCellMar>
      </w:tblPr>
      <w:tblGrid>
        <w:gridCol w:w="2896"/>
        <w:gridCol w:w="146"/>
        <w:gridCol w:w="146"/>
        <w:gridCol w:w="93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Available</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added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Restricted stock units with a per share or unit purchase price lower than 100% of the fair market value of the Company's common stock on the date of grant under the Incentive Plan, as amended, are counted against shares authorized under the plan as one and one-half shares of common stock for each share. When cancelled, these shares are added back to the Incentive Plan, as amended, as one and one-half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shows stock-based compensation expenses by functional area in the consolidated statements of operations for 2025 and 2024 (in thousands):</w:t>
      </w:r>
    </w:p>
    <w:p>
      <w:pPr>
        <w:pStyle w:val="TextBody"/>
        <w:bidi w:val="0"/>
        <w:jc w:val="left"/>
        <w:rPr/>
      </w:pPr>
      <w:r>
        <w:rPr/>
        <w:t> </w:t>
      </w:r>
    </w:p>
    <w:tbl>
      <w:tblPr>
        <w:tblW w:w="7031" w:type="dxa"/>
        <w:jc w:val="left"/>
        <w:tblInd w:w="0" w:type="dxa"/>
        <w:tblLayout w:type="fixed"/>
        <w:tblCellMar>
          <w:top w:w="28" w:type="dxa"/>
          <w:left w:w="28" w:type="dxa"/>
          <w:bottom w:w="28" w:type="dxa"/>
          <w:right w:w="28" w:type="dxa"/>
        </w:tblCellMar>
      </w:tblPr>
      <w:tblGrid>
        <w:gridCol w:w="3451"/>
        <w:gridCol w:w="146"/>
        <w:gridCol w:w="146"/>
        <w:gridCol w:w="434"/>
        <w:gridCol w:w="871"/>
        <w:gridCol w:w="146"/>
        <w:gridCol w:w="146"/>
        <w:gridCol w:w="403"/>
        <w:gridCol w:w="109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2025 and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January 3, 2026, there was $1.0 million of total unrecognized compensation cost related to non-vested share-based compensation arrangements under the Incentive Plan. The cost is expected to be recognized over a weighted-average period of 1.81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information regarding activity in our stock option plans during the fiscal years ended 2025 and 2024 (in thousands except share and per share data):</w:t>
      </w:r>
    </w:p>
    <w:p>
      <w:pPr>
        <w:pStyle w:val="TextBody"/>
        <w:bidi w:val="0"/>
        <w:jc w:val="left"/>
        <w:rPr/>
      </w:pPr>
      <w:r>
        <w:rPr/>
        <w:t> </w:t>
      </w:r>
    </w:p>
    <w:tbl>
      <w:tblPr>
        <w:tblW w:w="5478" w:type="dxa"/>
        <w:jc w:val="left"/>
        <w:tblInd w:w="0" w:type="dxa"/>
        <w:tblLayout w:type="fixed"/>
        <w:tblCellMar>
          <w:top w:w="28" w:type="dxa"/>
          <w:left w:w="28" w:type="dxa"/>
          <w:bottom w:w="28" w:type="dxa"/>
          <w:right w:w="28" w:type="dxa"/>
        </w:tblCellMar>
      </w:tblPr>
      <w:tblGrid>
        <w:gridCol w:w="2896"/>
        <w:gridCol w:w="146"/>
        <w:gridCol w:w="146"/>
        <w:gridCol w:w="991"/>
        <w:gridCol w:w="166"/>
        <w:gridCol w:w="146"/>
        <w:gridCol w:w="248"/>
        <w:gridCol w:w="548"/>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following table summarizes information with respect to stock options outstanding and exercisable as of January 3, 2026:</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1906"/>
        <w:gridCol w:w="146"/>
        <w:gridCol w:w="146"/>
        <w:gridCol w:w="931"/>
        <w:gridCol w:w="146"/>
        <w:gridCol w:w="146"/>
        <w:gridCol w:w="236"/>
        <w:gridCol w:w="755"/>
        <w:gridCol w:w="146"/>
        <w:gridCol w:w="146"/>
        <w:gridCol w:w="248"/>
        <w:gridCol w:w="548"/>
        <w:gridCol w:w="146"/>
        <w:gridCol w:w="146"/>
        <w:gridCol w:w="183"/>
        <w:gridCol w:w="982"/>
        <w:gridCol w:w="183"/>
        <w:gridCol w:w="183"/>
        <w:gridCol w:w="265"/>
        <w:gridCol w:w="586"/>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 and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Range of Exercise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Exercisable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$0.89-$0.93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$0.94-$0.94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$0.99-$2.12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$2.13-$2.13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$2.17-$2.28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234,195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$6.76-$7.36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$7.38-$7.38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$7.58-$7.58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$7.62-$7.62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$0.89-$7.62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973,945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determination of the fair value of options granted is computed using the Black-Scholes option pricing model with the following weighted average assumptions:</w:t>
      </w:r>
    </w:p>
    <w:p>
      <w:pPr>
        <w:pStyle w:val="TextBody"/>
        <w:bidi w:val="0"/>
        <w:jc w:val="left"/>
        <w:rPr/>
      </w:pPr>
      <w:r>
        <w:rPr/>
        <w:t> </w:t>
      </w:r>
    </w:p>
    <w:tbl>
      <w:tblPr>
        <w:tblW w:w="6313" w:type="dxa"/>
        <w:jc w:val="left"/>
        <w:tblInd w:w="0" w:type="dxa"/>
        <w:tblLayout w:type="fixed"/>
        <w:tblCellMar>
          <w:top w:w="28" w:type="dxa"/>
          <w:left w:w="28" w:type="dxa"/>
          <w:bottom w:w="28" w:type="dxa"/>
          <w:right w:w="28" w:type="dxa"/>
        </w:tblCellMar>
      </w:tblPr>
      <w:tblGrid>
        <w:gridCol w:w="2491"/>
        <w:gridCol w:w="146"/>
        <w:gridCol w:w="310"/>
        <w:gridCol w:w="995"/>
        <w:gridCol w:w="361"/>
        <w:gridCol w:w="194"/>
        <w:gridCol w:w="357"/>
        <w:gridCol w:w="1143"/>
        <w:gridCol w:w="31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Option Plan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options granted as calculated using the Black-Scholes option pricing was $0.57 and $1.47 per share for the fiscal years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regarding stock options outstanding, exercisable and expected to vest as of January 3, 2026 is summarized below: </w:t>
      </w:r>
    </w:p>
    <w:p>
      <w:pPr>
        <w:pStyle w:val="TextBody"/>
        <w:bidi w:val="0"/>
        <w:jc w:val="left"/>
        <w:rPr/>
      </w:pPr>
      <w:r>
        <w:rPr/>
        <w:t> </w:t>
      </w:r>
    </w:p>
    <w:tbl>
      <w:tblPr>
        <w:tblW w:w="8727"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453"/>
        <w:gridCol w:w="1002"/>
        <w:gridCol w:w="146"/>
        <w:gridCol w:w="146"/>
        <w:gridCol w:w="236"/>
        <w:gridCol w:w="755"/>
        <w:gridCol w:w="146"/>
        <w:gridCol w:w="146"/>
        <w:gridCol w:w="313"/>
        <w:gridCol w:w="632"/>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w:t>
              <w:b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total pretax intrinsic value (the difference between our closing stock price on the last trading day of fiscal year 2025 and the exercise price, multiplied by the number of in-the-money options) that would have been received by the option holders had all option holders exercised their options on January 3, 2026. This amount is subject to change due to changes to the fair market value of our common stock. The total intrinsic value of options exercised for fiscal year 2025 was $0 because there were no stock option exercises. The total intrinsic value of options exercised for fiscal year 2024 was approximately $1 thousand.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fiscal year 2025, each non-employee member of the board of directors received an annual equity award stock options equal to approximately $75 thousand worth of our common stock (determined at the fair market value of the shares at the time such award is granted) under our Incentive Plan. Each equity award vests in full on the earlier of the one-year anniversary of the date of grant or the Company’s next annual meeting of stockholders, provided that the non-employee member continues to serve on the Board through such date.</w:t>
      </w:r>
    </w:p>
    <w:p>
      <w:pPr>
        <w:pStyle w:val="TextBody"/>
        <w:bidi w:val="0"/>
        <w:spacing w:before="120" w:after="283"/>
        <w:jc w:val="left"/>
        <w:rPr>
          <w:rFonts w:ascii="Times New Roman" w:hAnsi="Times New Roman"/>
          <w:sz w:val="20"/>
        </w:rPr>
      </w:pPr>
      <w:r>
        <w:rPr>
          <w:rFonts w:ascii="Times New Roman" w:hAnsi="Times New Roman"/>
          <w:b/>
          <w:color w:val="000000"/>
          <w:sz w:val="20"/>
        </w:rPr>
        <w:t>Summary of Restricted Stock Units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the estimated compensation expense of restricted stock units, net of estimated forfeitures, over the vesting term. The estimated compensation expense is based on the fair value of our common stock on the date of grant.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regarding the restricted stock units outstanding, vested and expected to vest as of January 3, 2026 is summarized below: </w:t>
      </w:r>
    </w:p>
    <w:p>
      <w:pPr>
        <w:pStyle w:val="TextBody"/>
        <w:bidi w:val="0"/>
        <w:jc w:val="left"/>
        <w:rPr/>
      </w:pPr>
      <w:r>
        <w:rPr/>
        <w:t> </w:t>
      </w:r>
    </w:p>
    <w:tbl>
      <w:tblPr>
        <w:tblW w:w="8405" w:type="dxa"/>
        <w:jc w:val="left"/>
        <w:tblInd w:w="0" w:type="dxa"/>
        <w:tblLayout w:type="fixed"/>
        <w:tblCellMar>
          <w:top w:w="28" w:type="dxa"/>
          <w:left w:w="28" w:type="dxa"/>
          <w:bottom w:w="28" w:type="dxa"/>
          <w:right w:w="28" w:type="dxa"/>
        </w:tblCellMar>
      </w:tblPr>
      <w:tblGrid>
        <w:gridCol w:w="4156"/>
        <w:gridCol w:w="146"/>
        <w:gridCol w:w="146"/>
        <w:gridCol w:w="781"/>
        <w:gridCol w:w="146"/>
        <w:gridCol w:w="146"/>
        <w:gridCol w:w="236"/>
        <w:gridCol w:w="755"/>
        <w:gridCol w:w="146"/>
        <w:gridCol w:w="146"/>
        <w:gridCol w:w="469"/>
        <w:gridCol w:w="94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intrinsic value of the restricted stock units is calculated based on the closing price of our shares as quoted on the Nasdaq Global Market on the last trading day of the fiscal year, January 2, 2026, of $1.17.</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majority of the restricted stock units that were released in fiscal year 2025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January 3, 2026, 235,880 shares of restricted stock units were released with an intrinsic value of approximately $251 thousand. We withheld 69,869 shares to satisfy approximately $75 thousand of employees’ minimum tax obligation on the released restricted stock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regarding the restricted stock unit activity during the years ended January 3, 2026 and December 28, 2024 is summarized below: </w:t>
      </w:r>
    </w:p>
    <w:p>
      <w:pPr>
        <w:pStyle w:val="TextBody"/>
        <w:bidi w:val="0"/>
        <w:jc w:val="left"/>
        <w:rPr/>
      </w:pPr>
      <w:r>
        <w:rPr/>
        <w:t> </w:t>
      </w:r>
    </w:p>
    <w:tbl>
      <w:tblPr>
        <w:tblW w:w="6107" w:type="dxa"/>
        <w:jc w:val="left"/>
        <w:tblInd w:w="0" w:type="dxa"/>
        <w:tblLayout w:type="fixed"/>
        <w:tblCellMar>
          <w:top w:w="28" w:type="dxa"/>
          <w:left w:w="28" w:type="dxa"/>
          <w:bottom w:w="28" w:type="dxa"/>
          <w:right w:w="28" w:type="dxa"/>
        </w:tblCellMar>
      </w:tblPr>
      <w:tblGrid>
        <w:gridCol w:w="3166"/>
        <w:gridCol w:w="146"/>
        <w:gridCol w:w="146"/>
        <w:gridCol w:w="841"/>
        <w:gridCol w:w="166"/>
        <w:gridCol w:w="146"/>
        <w:gridCol w:w="406"/>
        <w:gridCol w:w="899"/>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year ended January 3, 2026, the Company awarded 176,258 restricted stock units at a weighted average grant date fair value of $0.97 per share. During the year ended December 28, 2024, the Company awarded 575,246 restricted stock units at a weighted average grant date fair value of $1.85 per share.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Employee Benefit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Company. In the years ended January 3, 2026 and December 28, 2024, the Company made $0.2 million worth of total matching contributions in each period.</w:t>
      </w:r>
    </w:p>
    <w:p>
      <w:pPr>
        <w:pStyle w:val="TextBody"/>
        <w:bidi w:val="0"/>
        <w:spacing w:before="120" w:after="283"/>
        <w:jc w:val="left"/>
        <w:rPr>
          <w:rFonts w:ascii="Times New Roman" w:hAnsi="Times New Roman"/>
          <w:sz w:val="20"/>
        </w:rPr>
      </w:pPr>
      <w:r>
        <w:rPr>
          <w:rFonts w:ascii="Times New Roman" w:hAnsi="Times New Roman"/>
          <w:b/>
          <w:color w:val="000000"/>
          <w:sz w:val="20"/>
        </w:rPr>
        <w:t>14.</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Loss from operations before provision for income taxes was comprised of the following (in thousands):</w:t>
      </w:r>
    </w:p>
    <w:p>
      <w:pPr>
        <w:pStyle w:val="TextBody"/>
        <w:bidi w:val="0"/>
        <w:jc w:val="left"/>
        <w:rPr/>
      </w:pPr>
      <w:r>
        <w:rPr/>
        <w:t> </w:t>
      </w:r>
    </w:p>
    <w:tbl>
      <w:tblPr>
        <w:tblW w:w="4675" w:type="dxa"/>
        <w:jc w:val="left"/>
        <w:tblInd w:w="0" w:type="dxa"/>
        <w:tblLayout w:type="fixed"/>
        <w:tblCellMar>
          <w:top w:w="28" w:type="dxa"/>
          <w:left w:w="28" w:type="dxa"/>
          <w:bottom w:w="28" w:type="dxa"/>
          <w:right w:w="28" w:type="dxa"/>
        </w:tblCellMar>
      </w:tblPr>
      <w:tblGrid>
        <w:gridCol w:w="1201"/>
        <w:gridCol w:w="146"/>
        <w:gridCol w:w="326"/>
        <w:gridCol w:w="979"/>
        <w:gridCol w:w="166"/>
        <w:gridCol w:w="146"/>
        <w:gridCol w:w="375"/>
        <w:gridCol w:w="1125"/>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provision for income taxes includes (in thousands):</w:t>
      </w:r>
    </w:p>
    <w:p>
      <w:pPr>
        <w:pStyle w:val="TextBody"/>
        <w:bidi w:val="0"/>
        <w:jc w:val="left"/>
        <w:rPr/>
      </w:pPr>
      <w:r>
        <w:rPr/>
        <w:t> </w:t>
      </w:r>
    </w:p>
    <w:tbl>
      <w:tblPr>
        <w:tblW w:w="5915" w:type="dxa"/>
        <w:jc w:val="left"/>
        <w:tblInd w:w="0" w:type="dxa"/>
        <w:tblLayout w:type="fixed"/>
        <w:tblCellMar>
          <w:top w:w="28" w:type="dxa"/>
          <w:left w:w="28" w:type="dxa"/>
          <w:bottom w:w="28" w:type="dxa"/>
          <w:right w:w="28" w:type="dxa"/>
        </w:tblCellMar>
      </w:tblPr>
      <w:tblGrid>
        <w:gridCol w:w="2281"/>
        <w:gridCol w:w="146"/>
        <w:gridCol w:w="495"/>
        <w:gridCol w:w="810"/>
        <w:gridCol w:w="146"/>
        <w:gridCol w:w="146"/>
        <w:gridCol w:w="569"/>
        <w:gridCol w:w="931"/>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Company’s effective tax rate differs from the statutory federal income tax rate as shown in the following schedule:</w:t>
      </w:r>
    </w:p>
    <w:p>
      <w:pPr>
        <w:pStyle w:val="TextBody"/>
        <w:bidi w:val="0"/>
        <w:jc w:val="left"/>
        <w:rPr/>
      </w:pPr>
      <w:r>
        <w:rPr/>
        <w:t> </w:t>
      </w:r>
    </w:p>
    <w:tbl>
      <w:tblPr>
        <w:tblW w:w="9121" w:type="dxa"/>
        <w:jc w:val="left"/>
        <w:tblInd w:w="0" w:type="dxa"/>
        <w:tblLayout w:type="fixed"/>
        <w:tblCellMar>
          <w:top w:w="28" w:type="dxa"/>
          <w:left w:w="28" w:type="dxa"/>
          <w:bottom w:w="28" w:type="dxa"/>
          <w:right w:w="28" w:type="dxa"/>
        </w:tblCellMar>
      </w:tblPr>
      <w:tblGrid>
        <w:gridCol w:w="4486"/>
        <w:gridCol w:w="146"/>
        <w:gridCol w:w="160"/>
        <w:gridCol w:w="531"/>
        <w:gridCol w:w="166"/>
        <w:gridCol w:w="146"/>
        <w:gridCol w:w="146"/>
        <w:gridCol w:w="526"/>
        <w:gridCol w:w="331"/>
        <w:gridCol w:w="146"/>
        <w:gridCol w:w="146"/>
        <w:gridCol w:w="631"/>
        <w:gridCol w:w="166"/>
        <w:gridCol w:w="146"/>
        <w:gridCol w:w="146"/>
        <w:gridCol w:w="526"/>
        <w:gridCol w:w="57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at statutory federal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taxes, net of federal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Elimination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Global intangible low-taxed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Excess Tax (Benefit) or Deficit on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premium related to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R&amp;D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State taxes in Texas made up the majority (greater than 50 percent) of the tax effect in this category.</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tax effect of temporary differences and carryforwards that give rise to significant portions of the net deferred tax assets are presented below (in thousands): </w:t>
      </w:r>
    </w:p>
    <w:p>
      <w:pPr>
        <w:pStyle w:val="TextBody"/>
        <w:bidi w:val="0"/>
        <w:jc w:val="left"/>
        <w:rPr/>
      </w:pPr>
      <w:r>
        <w:rPr/>
        <w:t> </w:t>
      </w:r>
    </w:p>
    <w:tbl>
      <w:tblPr>
        <w:tblW w:w="9175" w:type="dxa"/>
        <w:jc w:val="left"/>
        <w:tblInd w:w="0" w:type="dxa"/>
        <w:tblLayout w:type="fixed"/>
        <w:tblCellMar>
          <w:top w:w="28" w:type="dxa"/>
          <w:left w:w="28" w:type="dxa"/>
          <w:bottom w:w="28" w:type="dxa"/>
          <w:right w:w="28" w:type="dxa"/>
        </w:tblCellMar>
      </w:tblPr>
      <w:tblGrid>
        <w:gridCol w:w="5621"/>
        <w:gridCol w:w="146"/>
        <w:gridCol w:w="291"/>
        <w:gridCol w:w="1014"/>
        <w:gridCol w:w="166"/>
        <w:gridCol w:w="146"/>
        <w:gridCol w:w="334"/>
        <w:gridCol w:w="1166"/>
        <w:gridCol w:w="291"/>
      </w:tblGrid>
      <w:tr>
        <w:trPr/>
        <w:tc>
          <w:tcPr>
            <w:tcW w:w="5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Section 174 research and experimental expenditures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5"/>
        <w:jc w:val="left"/>
        <w:rPr>
          <w:rFonts w:ascii="Times New Roman" w:hAnsi="Times New Roman"/>
          <w:color w:val="000000"/>
          <w:sz w:val="20"/>
        </w:rPr>
      </w:pPr>
      <w:r>
        <w:rPr>
          <w:rFonts w:ascii="Times New Roman" w:hAnsi="Times New Roman"/>
          <w:color w:val="000000"/>
          <w:sz w:val="20"/>
        </w:rPr>
        <w:t>The following table presents the income tax paid (net of refunds received) (in thousands):</w:t>
      </w:r>
    </w:p>
    <w:p>
      <w:pPr>
        <w:pStyle w:val="TextBody"/>
        <w:bidi w:val="0"/>
        <w:ind w:left="0" w:right="0" w:firstLine="495"/>
        <w:jc w:val="left"/>
        <w:rPr/>
      </w:pPr>
      <w:r>
        <w:rPr/>
        <w:t> </w:t>
      </w:r>
    </w:p>
    <w:tbl>
      <w:tblPr>
        <w:tblW w:w="7575" w:type="dxa"/>
        <w:jc w:val="left"/>
        <w:tblInd w:w="0" w:type="dxa"/>
        <w:tblLayout w:type="fixed"/>
        <w:tblCellMar>
          <w:top w:w="28" w:type="dxa"/>
          <w:left w:w="28" w:type="dxa"/>
          <w:bottom w:w="28" w:type="dxa"/>
          <w:right w:w="28" w:type="dxa"/>
        </w:tblCellMar>
      </w:tblPr>
      <w:tblGrid>
        <w:gridCol w:w="4021"/>
        <w:gridCol w:w="146"/>
        <w:gridCol w:w="469"/>
        <w:gridCol w:w="836"/>
        <w:gridCol w:w="166"/>
        <w:gridCol w:w="146"/>
        <w:gridCol w:w="569"/>
        <w:gridCol w:w="931"/>
        <w:gridCol w:w="2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5"/>
        <w:jc w:val="left"/>
        <w:rPr/>
      </w:pPr>
      <w:r>
        <w:rPr/>
        <w:t> </w:t>
      </w:r>
    </w:p>
    <w:p>
      <w:pPr>
        <w:pStyle w:val="TextBody"/>
        <w:bidi w:val="0"/>
        <w:ind w:left="0" w:right="0" w:firstLine="495"/>
        <w:jc w:val="left"/>
        <w:rPr>
          <w:rFonts w:ascii="Times New Roman" w:hAnsi="Times New Roman"/>
          <w:color w:val="000000"/>
          <w:sz w:val="20"/>
        </w:rPr>
      </w:pPr>
      <w:r>
        <w:rPr>
          <w:rFonts w:ascii="Times New Roman" w:hAnsi="Times New Roman"/>
          <w:color w:val="000000"/>
          <w:sz w:val="20"/>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As of January 3, 2026, based on the Company's recent history of losses and its forecasted losses, management believes on the more likely than not basis that a full valuation allowance is required. Accordingly, in the fourth quarter of fiscal year 2025, the Company provided a full valuation allowance on its federal and state deferred tax assets. The Company's change in valuation allowance form prior year was $419 thousand. As of January 3, 2026, the Company had federal and state net operating loss (“NOL”) carry forwards of $72.5 million and $33.7 million, respectively. The federal NOL and the state NOL will begin to expire in 2032.</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The Company has federal and state research credit carry forwards of approximately $2.4 million and $3.9 million, respectively. The federal research credit will begin to expire in 2026 and the state research credit can be carried forward indefinitely. In the event of a change in ownership as defined by IRC sections 382 and 383, the usage of the above mentioned NOL’s and credits may be limited.</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January 3, 2026.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beginning and ending amount of unrecognized tax benefits is as follows (in thousands): </w:t>
      </w:r>
    </w:p>
    <w:p>
      <w:pPr>
        <w:pStyle w:val="TextBody"/>
        <w:bidi w:val="0"/>
        <w:jc w:val="left"/>
        <w:rPr/>
      </w:pPr>
      <w:r>
        <w:rPr/>
        <w:t> </w:t>
      </w:r>
    </w:p>
    <w:tbl>
      <w:tblPr>
        <w:tblW w:w="8590" w:type="dxa"/>
        <w:jc w:val="left"/>
        <w:tblInd w:w="0" w:type="dxa"/>
        <w:tblLayout w:type="fixed"/>
        <w:tblCellMar>
          <w:top w:w="28" w:type="dxa"/>
          <w:left w:w="28" w:type="dxa"/>
          <w:bottom w:w="28" w:type="dxa"/>
          <w:right w:w="28" w:type="dxa"/>
        </w:tblCellMar>
      </w:tblPr>
      <w:tblGrid>
        <w:gridCol w:w="5116"/>
        <w:gridCol w:w="146"/>
        <w:gridCol w:w="352"/>
        <w:gridCol w:w="953"/>
        <w:gridCol w:w="166"/>
        <w:gridCol w:w="146"/>
        <w:gridCol w:w="404"/>
        <w:gridCol w:w="1096"/>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upon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based upon tax positions related to the prior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If the ending balance of $1.4 million of unrecognized tax benefits as of January 3, 2026 were recognized, $0 of the recognition would affect the income tax rate. The unrecognized tax benefits may change during the next year for items that arise in the ordinary course of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files U.S. federal and various state returns. Tax years generated loss remain open, none of which have individual significance.</w:t>
      </w:r>
    </w:p>
    <w:p>
      <w:pPr>
        <w:pStyle w:val="TextBody"/>
        <w:bidi w:val="0"/>
        <w:spacing w:before="120" w:after="283"/>
        <w:ind w:left="0" w:right="0" w:firstLine="49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15. Business Segments and Geographical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and management personnel do not segregate the Group’s business by revenue stream or geography. Management has determined that the Company has one operating segment, ophthalmology. The measure of segment assets is reported on the Consolidated Balance Sheets as total consolidated assets. The revenue, costs and expenses, and the net income for the reportable segment are the same as those presented on the Consolidated Statements of Operations. Substantially all of our long-term assets are located in the U.S. We develop, manufacture and market medical devices. Our revenues arise from the sale of consoles, delivery devices, consumables, service and support activities.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is as follows (in thousands):</w:t>
      </w:r>
    </w:p>
    <w:p>
      <w:pPr>
        <w:pStyle w:val="TextBody"/>
        <w:bidi w:val="0"/>
        <w:ind w:left="0" w:right="0" w:firstLine="490"/>
        <w:jc w:val="left"/>
        <w:rPr/>
      </w:pPr>
      <w:r>
        <w:rPr/>
        <w:t> </w:t>
      </w:r>
    </w:p>
    <w:tbl>
      <w:tblPr>
        <w:tblW w:w="4755" w:type="dxa"/>
        <w:jc w:val="left"/>
        <w:tblInd w:w="0" w:type="dxa"/>
        <w:tblLayout w:type="fixed"/>
        <w:tblCellMar>
          <w:top w:w="28" w:type="dxa"/>
          <w:left w:w="28" w:type="dxa"/>
          <w:bottom w:w="28" w:type="dxa"/>
          <w:right w:w="28" w:type="dxa"/>
        </w:tblCellMar>
      </w:tblPr>
      <w:tblGrid>
        <w:gridCol w:w="1321"/>
        <w:gridCol w:w="146"/>
        <w:gridCol w:w="310"/>
        <w:gridCol w:w="995"/>
        <w:gridCol w:w="146"/>
        <w:gridCol w:w="146"/>
        <w:gridCol w:w="357"/>
        <w:gridCol w:w="1143"/>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service contract revenues of $1.3 million and $1.4 million recognized during fiscal years 2025 and 2024, respectively. Includes $1.5 million recognized revenue related to the exclusive distribution rights during fiscal years 2025 and 2024. Other also includes revenues from paid service, royalty, freight and legacy G probes.</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is as follows (in thousands):</w:t>
      </w:r>
    </w:p>
    <w:tbl>
      <w:tblPr>
        <w:tblW w:w="6105" w:type="dxa"/>
        <w:jc w:val="left"/>
        <w:tblInd w:w="0" w:type="dxa"/>
        <w:tblLayout w:type="fixed"/>
        <w:tblCellMar>
          <w:top w:w="28" w:type="dxa"/>
          <w:left w:w="28" w:type="dxa"/>
          <w:bottom w:w="28" w:type="dxa"/>
          <w:right w:w="28" w:type="dxa"/>
        </w:tblCellMar>
      </w:tblPr>
      <w:tblGrid>
        <w:gridCol w:w="2671"/>
        <w:gridCol w:w="146"/>
        <w:gridCol w:w="310"/>
        <w:gridCol w:w="995"/>
        <w:gridCol w:w="146"/>
        <w:gridCol w:w="146"/>
        <w:gridCol w:w="357"/>
        <w:gridCol w:w="1143"/>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location of end customers.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Other than the United States, the Netherlands and China accounted for more than 10% of the Company’s revenues during fiscal year 2025, representing 14.7% and 11.0%, respectively. The United States accounted for 44.1% of revenues in 2025. Other than the United States, the Netherlands accounted for more than 10% of the Company’s revenues during fiscal year 2024, representing 14.8%. The United States accounted for 46.6% of revenues in 2024.</w:t>
      </w:r>
    </w:p>
    <w:p>
      <w:pPr>
        <w:pStyle w:val="TextBody"/>
        <w:bidi w:val="0"/>
        <w:jc w:val="left"/>
        <w:rPr>
          <w:rFonts w:ascii="Times New Roman" w:hAnsi="Times New Roman"/>
          <w:b/>
          <w:color w:val="000000"/>
          <w:sz w:val="20"/>
        </w:rPr>
      </w:pPr>
      <w:r>
        <w:rPr>
          <w:rFonts w:ascii="Times New Roman" w:hAnsi="Times New Roman"/>
          <w:b/>
          <w:color w:val="000000"/>
          <w:sz w:val="20"/>
        </w:rPr>
        <w:t>16. Computation of Basic and Diluted Net Loss Per Common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numerator and denominator of basic and diluted net loss per common share is provided as follows (in thousands, except per share amounts): </w:t>
      </w:r>
    </w:p>
    <w:tbl>
      <w:tblPr>
        <w:tblW w:w="9575" w:type="dxa"/>
        <w:jc w:val="left"/>
        <w:tblInd w:w="0" w:type="dxa"/>
        <w:tblLayout w:type="fixed"/>
        <w:tblCellMar>
          <w:top w:w="28" w:type="dxa"/>
          <w:left w:w="28" w:type="dxa"/>
          <w:bottom w:w="28" w:type="dxa"/>
          <w:right w:w="28" w:type="dxa"/>
        </w:tblCellMar>
      </w:tblPr>
      <w:tblGrid>
        <w:gridCol w:w="4521"/>
        <w:gridCol w:w="146"/>
        <w:gridCol w:w="310"/>
        <w:gridCol w:w="995"/>
        <w:gridCol w:w="746"/>
        <w:gridCol w:w="746"/>
        <w:gridCol w:w="357"/>
        <w:gridCol w:w="1143"/>
        <w:gridCol w:w="6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the twelve months ended January 3, 2026 and December 28, 2024, stock options, restricted stock units, and restricted stock awards of 2,490,340 and 2,697,381 shares, respectively, were excluded from the computation of diluted weighted average shares outstanding because to do so would have been anti-dilutive.</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the twelve months ended January 3, 2026 and December 28, 2024, potential shares from the conversion of Novel's convertible debt and preferred stock totaling 5,000,000 and 0, respectively, were excluded from the computation of diluted weighted average shares outstanding.</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Before the Lind Note payoff, the total number of shares of Common Stock issuable pursuant to the terms of the Lind Transaction Documents was capped at (i) prior to the receipt of stockholder approval, 3,300,231 (equal to 19.99% of the number of shares of Common Stock outstanding as of August 4, 2024), and (ii) following the receipt of stockholder approval, 4,952,823 (equal to 30% of the number of shares of Common Stock outstanding as of August 4, 2024). These potential shares from the conversion of the Lind Note were excluded from the computation of diluted weighted average shares outstanding for the twelve months ended January 3, 2026 and December 28, 2024.</w:t>
      </w:r>
    </w:p>
    <w:p>
      <w:pPr>
        <w:pStyle w:val="TextBody"/>
        <w:bidi w:val="0"/>
        <w:ind w:left="0" w:right="0" w:firstLine="490"/>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On March 9, 2026, IRIDEX Corporation (the “Company”) and SFIII Hellyer, LLC and SFIII FOS Hellyer Holding, LLC (the “Landlord”) entered into a triple net lease (the “Lease”) pursuant to which the Company will lease office space located at 5215 Hellyer Avenue in San Jose, California (the “Leased Space”) as the Company’s new corporate headquarters.</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Leased Space consists of approximately 30,784 square feet. The Lease term is anticipated to commence on July 1, 2026 or such earlier date as the Company begins occupancy of the Leased Space for its business operations. The term of the Lease is 90 months from the commencement date. The Company has the right to extend the term of the Lease for an additional 60 months at the greater of (a) the Rent (as defined in the Lease) payable prior the commencement of the Option Term (as defined in the Lease) and (b) the then-prevailing Market Rent (as defined in the Lease). The Lease provides that minimum rent will abate during the six-month period following the commencement date. The annual minimum rent, to be paid in equal monthly installments, will be approximately $646,464 for the full initial lease year and increase to approximately $665,857 for the second full lease year. Thereafter, minimum rent will increase by approximately 3.0% per annum over the rest of the initial Lease term. The Company is also responsible for paying its share of operating expenses, taxes, and utilities. The Lease includes various covenants, indemnities, remedies, termination rights, sublease and transfer rights and other provisions customary for lease transactions of this nature.</w:t>
      </w:r>
    </w:p>
    <w:p>
      <w:pPr>
        <w:pStyle w:val="TextBody"/>
        <w:bidi w:val="0"/>
        <w:ind w:left="0" w:right="0" w:firstLine="49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Refer to our Current Report on Form 8-K filed with the U.S. Securities and Exchange Commission on March 13, 2026 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3" w:name="item_9"/>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color w:val="000000"/>
          <w:sz w:val="20"/>
        </w:rPr>
      </w:pPr>
      <w:bookmarkStart w:id="24" w:name="item_9a"/>
      <w:bookmarkEnd w:id="24"/>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pursuant to Rule 13a-15(e) and 15d-15(e)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Based on management’s evaluation, our Principal Executive Officer and Principal Financial Officer concluded that, as of January 3,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January 3, 2026. In making this assessment, we used the criteria set forth by the Committee of Sponsoring Organizations of the Treadway Commission (COSO) in </w:t>
      </w:r>
      <w:r>
        <w:rPr>
          <w:rFonts w:ascii="Times New Roman" w:hAnsi="Times New Roman"/>
          <w:i/>
          <w:color w:val="000000"/>
          <w:sz w:val="20"/>
        </w:rPr>
        <w:t xml:space="preserve">Internal Control-Integrated Framework (2013). </w:t>
      </w:r>
      <w:r>
        <w:rPr>
          <w:rFonts w:ascii="Times New Roman" w:hAnsi="Times New Roman"/>
          <w:color w:val="000000"/>
          <w:sz w:val="20"/>
        </w:rPr>
        <w:t>Based on our assessment using those criteria, our management concluded that, as of January 3, 2026, our internal control over financial reporting is effective.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fourth quarter of fiscal year 2025 that has materially affected, or is reasonably likely to materially affect, our internal control over financial reporting, as defined in Rule 13a-15(f) and 15(d)-15(f) under the Exchange Act.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5" w:name="item_9b"/>
      <w:bookmarkEnd w:id="25"/>
      <w:r>
        <w:rPr>
          <w:rFonts w:ascii="Times New Roman" w:hAnsi="Times New Roman"/>
          <w:b/>
          <w:color w:val="000000"/>
          <w:sz w:val="20"/>
        </w:rPr>
        <w:t>Item 9B.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January 3, 2026, the Company did not adopt, modify or terminate, and no directors or officers, as defined in Rule 16a-1(f), adopted, modified or terminated a “Rule 10b5-1 trading arrangement” or a “non-Rule 10b5-1 trading arrangement,” each as defined in Regulation S-K Item 408.</w:t>
      </w:r>
    </w:p>
    <w:p>
      <w:pPr>
        <w:pStyle w:val="TextBody"/>
        <w:bidi w:val="0"/>
        <w:jc w:val="left"/>
        <w:rPr/>
      </w:pPr>
      <w:r>
        <w:rPr/>
        <w:t> </w:t>
      </w:r>
    </w:p>
    <w:p>
      <w:pPr>
        <w:pStyle w:val="TextBody"/>
        <w:bidi w:val="0"/>
        <w:jc w:val="left"/>
        <w:rPr>
          <w:rFonts w:ascii="Times New Roman" w:hAnsi="Times New Roman"/>
          <w:b/>
          <w:color w:val="000000"/>
          <w:sz w:val="20"/>
        </w:rPr>
      </w:pPr>
      <w:bookmarkStart w:id="26" w:name="item_9c_disclosure_regarding_foreign_jur"/>
      <w:bookmarkEnd w:id="26"/>
      <w:r>
        <w:rPr>
          <w:rFonts w:ascii="Times New Roman" w:hAnsi="Times New Roman"/>
          <w:b/>
          <w:color w:val="000000"/>
          <w:sz w:val="20"/>
        </w:rPr>
        <w:t>Item 9C. Disclosure Regarding Foreign Jurisdictions that Prevent Inspections.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bookmarkStart w:id="28" w:name="item_10"/>
      <w:bookmarkEnd w:id="28"/>
      <w:r>
        <w:rPr>
          <w:rFonts w:ascii="Times New Roman" w:hAnsi="Times New Roman"/>
          <w:b/>
          <w:color w:val="000000"/>
          <w:sz w:val="20"/>
        </w:rPr>
        <w:t>Item 10. Directors, Executive Officers and Corporate Governance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our definitive proxy statement to be filed with the SEC in connection with our 2026 Annual Meeting of Stockholders (the “Proxy Statement”), which is expected to be filed not later than 120 days after the end of our fiscal year ended January 3, 2026 and is incorporated in this report by reference. </w:t>
      </w:r>
    </w:p>
    <w:p>
      <w:pPr>
        <w:pStyle w:val="TextBody"/>
        <w:bidi w:val="0"/>
        <w:spacing w:before="120" w:after="283"/>
        <w:jc w:val="left"/>
        <w:rPr>
          <w:rFonts w:ascii="Times New Roman" w:hAnsi="Times New Roman"/>
          <w:b/>
          <w:color w:val="000000"/>
          <w:sz w:val="20"/>
        </w:rPr>
      </w:pPr>
      <w:bookmarkStart w:id="29" w:name="item_11"/>
      <w:bookmarkEnd w:id="29"/>
      <w:r>
        <w:rPr>
          <w:rFonts w:ascii="Times New Roman" w:hAnsi="Times New Roman"/>
          <w:b/>
          <w:color w:val="000000"/>
          <w:sz w:val="20"/>
        </w:rPr>
        <w:t>Item 11. Executive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spacing w:before="120" w:after="283"/>
        <w:jc w:val="left"/>
        <w:rPr>
          <w:rFonts w:ascii="Times New Roman" w:hAnsi="Times New Roman"/>
          <w:b/>
          <w:color w:val="000000"/>
          <w:sz w:val="20"/>
        </w:rPr>
      </w:pPr>
      <w:bookmarkStart w:id="30" w:name="item_12"/>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spacing w:before="120" w:after="283"/>
        <w:jc w:val="left"/>
        <w:rPr>
          <w:rFonts w:ascii="Times New Roman" w:hAnsi="Times New Roman"/>
          <w:b/>
          <w:color w:val="000000"/>
          <w:sz w:val="20"/>
        </w:rPr>
      </w:pPr>
      <w:bookmarkStart w:id="31" w:name="item_13"/>
      <w:bookmarkEnd w:id="31"/>
      <w:r>
        <w:rPr>
          <w:rFonts w:ascii="Times New Roman" w:hAnsi="Times New Roman"/>
          <w:b/>
          <w:color w:val="000000"/>
          <w:sz w:val="20"/>
        </w:rPr>
        <w:t>Item 13. Certain Relationships and Related Transactions, and Director Independence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spacing w:before="120" w:after="283"/>
        <w:jc w:val="left"/>
        <w:rPr>
          <w:rFonts w:ascii="Times New Roman" w:hAnsi="Times New Roman"/>
          <w:b/>
          <w:color w:val="000000"/>
          <w:sz w:val="20"/>
        </w:rPr>
      </w:pPr>
      <w:bookmarkStart w:id="32" w:name="item_14"/>
      <w:bookmarkEnd w:id="32"/>
      <w:r>
        <w:rPr>
          <w:rFonts w:ascii="Times New Roman" w:hAnsi="Times New Roman"/>
          <w:b/>
          <w:color w:val="000000"/>
          <w:sz w:val="20"/>
        </w:rPr>
        <w:t>Item 14. Principal Accounting Fees and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Proxy Statement and is incorporated herein by reference.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jc w:val="left"/>
        <w:rPr/>
      </w:pPr>
      <w:r>
        <w:rPr/>
        <w:t> </w:t>
      </w:r>
    </w:p>
    <w:p>
      <w:pPr>
        <w:pStyle w:val="TextBody"/>
        <w:bidi w:val="0"/>
        <w:jc w:val="left"/>
        <w:rPr>
          <w:rFonts w:ascii="Times New Roman" w:hAnsi="Times New Roman"/>
          <w:b/>
          <w:color w:val="000000"/>
          <w:sz w:val="20"/>
        </w:rPr>
      </w:pPr>
      <w:bookmarkStart w:id="34" w:name="item_15"/>
      <w:bookmarkEnd w:id="34"/>
      <w:r>
        <w:rPr>
          <w:rFonts w:ascii="Times New Roman" w:hAnsi="Times New Roman"/>
          <w:b/>
          <w:color w:val="000000"/>
          <w:sz w:val="20"/>
        </w:rPr>
        <w:t>Item 15. Exhibits and Financial Statement Schedules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in Part II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86" w:type="dxa"/>
        <w:jc w:val="left"/>
        <w:tblInd w:w="0" w:type="dxa"/>
        <w:tblLayout w:type="fixed"/>
        <w:tblCellMar>
          <w:top w:w="28" w:type="dxa"/>
          <w:left w:w="28" w:type="dxa"/>
          <w:bottom w:w="28" w:type="dxa"/>
          <w:right w:w="28" w:type="dxa"/>
        </w:tblCellMar>
      </w:tblPr>
      <w:tblGrid>
        <w:gridCol w:w="9001"/>
        <w:gridCol w:w="109"/>
        <w:gridCol w:w="976"/>
      </w:tblGrid>
      <w:tr>
        <w:trPr/>
        <w:tc>
          <w:tcPr>
            <w:tcW w:w="9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9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 in</w:t>
            </w:r>
          </w:p>
          <w:p>
            <w:pPr>
              <w:pStyle w:val="TableContents"/>
              <w:bidi w:val="0"/>
              <w:jc w:val="center"/>
              <w:rPr>
                <w:rFonts w:ascii="Times New Roman" w:hAnsi="Times New Roman"/>
                <w:b/>
                <w:color w:val="000000"/>
                <w:sz w:val="16"/>
              </w:rPr>
            </w:pPr>
            <w:r>
              <w:rPr>
                <w:rFonts w:ascii="Times New Roman" w:hAnsi="Times New Roman"/>
                <w:b/>
                <w:color w:val="000000"/>
                <w:sz w:val="16"/>
              </w:rPr>
              <w:t>Form 10-K</w:t>
            </w:r>
          </w:p>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Report</w:t>
            </w:r>
          </w:p>
        </w:tc>
      </w:tr>
      <w:tr>
        <w:trPr/>
        <w:tc>
          <w:tcPr>
            <w:tcW w:w="900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Index to Financial Statements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ind w:left="0" w:right="0" w:firstLine="245"/>
              <w:jc w:val="center"/>
              <w:rPr/>
            </w:pPr>
            <w:r>
              <w:rPr/>
              <w:t> </w:t>
            </w:r>
          </w:p>
        </w:tc>
      </w:tr>
      <w:tr>
        <w:trPr/>
        <w:tc>
          <w:tcPr>
            <w:tcW w:w="900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900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January 3, 2026 and December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90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years ended January 3, 2026 and December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90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Statements of Comprehensive Loss for the years ended January 3, 2026 and December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90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stockholders">
              <w:r>
                <w:rPr>
                  <w:rStyle w:val="InternetLink"/>
                  <w:rFonts w:ascii="Times New Roman" w:hAnsi="Times New Roman"/>
                  <w:color w:val="0000FF"/>
                  <w:sz w:val="20"/>
                  <w:u w:val="single"/>
                </w:rPr>
                <w:t>Consolidated Statements of Stockholders’ Equity for the years ended January 3, 2026 and December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90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January 3, 2026 and December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55</w:t>
            </w:r>
          </w:p>
        </w:tc>
      </w:tr>
      <w:tr>
        <w:trPr/>
        <w:tc>
          <w:tcPr>
            <w:tcW w:w="900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Financial Statement Schedule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Schedules have been omitted because they are either not required, not applicable, or the required information is included in the consolidated financial statements or notes thereto.</w:t>
      </w:r>
    </w:p>
    <w:p>
      <w:pPr>
        <w:pStyle w:val="TextBody"/>
        <w:bidi w:val="0"/>
        <w:spacing w:before="12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ind w:left="0" w:right="0" w:firstLine="450"/>
        <w:jc w:val="left"/>
        <w:rPr>
          <w:rFonts w:ascii="Times New Roman" w:hAnsi="Times New Roman"/>
          <w:color w:val="000000"/>
          <w:sz w:val="20"/>
        </w:rPr>
      </w:pPr>
      <w:r>
        <w:rPr>
          <w:rFonts w:ascii="Times New Roman" w:hAnsi="Times New Roman"/>
          <w:color w:val="000000"/>
          <w:sz w:val="20"/>
        </w:rPr>
        <w:t>The documents listed in the Exhibit Index of this Annual Report on Form 10-K are incorporated by reference or are filed with this Annual Report on Form 10-K, in each case as indicated therein (numbered in accordance with Item 601 of Regulation S-K).</w:t>
      </w:r>
    </w:p>
    <w:p>
      <w:pPr>
        <w:pStyle w:val="TextBody"/>
        <w:bidi w:val="0"/>
        <w:spacing w:before="24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
        <w:gridCol w:w="146"/>
        <w:gridCol w:w="4721"/>
        <w:gridCol w:w="931"/>
        <w:gridCol w:w="687"/>
        <w:gridCol w:w="497"/>
        <w:gridCol w:w="1060"/>
        <w:gridCol w:w="584"/>
        <w:gridCol w:w="889"/>
      </w:tblGrid>
      <w:tr>
        <w:trPr/>
        <w:tc>
          <w:tcPr>
            <w:tcW w:w="6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2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497" w:type="dxa"/>
            <w:tcBorders/>
            <w:shd w:fill="FFFFFF" w:val="clear"/>
            <w:vAlign w:val="center"/>
          </w:tcPr>
          <w:p>
            <w:pPr>
              <w:pStyle w:val="TableContents"/>
              <w:bidi w:val="0"/>
              <w:spacing w:before="0" w:after="283"/>
              <w:jc w:val="left"/>
              <w:rPr>
                <w:sz w:val="4"/>
                <w:szCs w:val="4"/>
              </w:rPr>
            </w:pPr>
            <w:r>
              <w:rPr>
                <w:sz w:val="4"/>
                <w:szCs w:val="4"/>
              </w:rPr>
            </w:r>
          </w:p>
        </w:tc>
        <w:tc>
          <w:tcPr>
            <w:tcW w:w="1060" w:type="dxa"/>
            <w:tcBorders/>
            <w:shd w:fill="FFFFFF" w:val="clear"/>
            <w:vAlign w:val="center"/>
          </w:tcPr>
          <w:p>
            <w:pPr>
              <w:pStyle w:val="TableContents"/>
              <w:bidi w:val="0"/>
              <w:spacing w:before="0" w:after="283"/>
              <w:jc w:val="left"/>
              <w:rPr>
                <w:sz w:val="4"/>
                <w:szCs w:val="4"/>
              </w:rPr>
            </w:pPr>
            <w:r>
              <w:rPr>
                <w:sz w:val="4"/>
                <w:szCs w:val="4"/>
              </w:rPr>
            </w:r>
          </w:p>
        </w:tc>
        <w:tc>
          <w:tcPr>
            <w:tcW w:w="584" w:type="dxa"/>
            <w:tcBorders/>
            <w:shd w:fill="FFFFFF" w:val="clear"/>
            <w:vAlign w:val="center"/>
          </w:tcPr>
          <w:p>
            <w:pPr>
              <w:pStyle w:val="TableContents"/>
              <w:bidi w:val="0"/>
              <w:spacing w:before="0" w:after="283"/>
              <w:jc w:val="left"/>
              <w:rPr>
                <w:sz w:val="4"/>
                <w:szCs w:val="4"/>
              </w:rPr>
            </w:pPr>
            <w:r>
              <w:rPr>
                <w:sz w:val="4"/>
                <w:szCs w:val="4"/>
              </w:rPr>
            </w:r>
          </w:p>
        </w:tc>
        <w:tc>
          <w:tcPr>
            <w:tcW w:w="889" w:type="dxa"/>
            <w:tcBorders/>
            <w:shd w:fill="FFFFFF" w:val="clear"/>
          </w:tcPr>
          <w:p>
            <w:pPr>
              <w:pStyle w:val="TableContents"/>
              <w:bidi w:val="0"/>
              <w:spacing w:before="0" w:after="283"/>
              <w:jc w:val="left"/>
              <w:rPr>
                <w:sz w:val="4"/>
                <w:szCs w:val="4"/>
              </w:rPr>
            </w:pPr>
            <w:r>
              <w:rPr>
                <w:sz w:val="4"/>
                <w:szCs w:val="4"/>
              </w:rPr>
            </w:r>
          </w:p>
        </w:tc>
      </w:tr>
      <w:tr>
        <w:trPr/>
        <w:tc>
          <w:tcPr>
            <w:tcW w:w="690"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75"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58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4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0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5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8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Registrant filed on June 11, 2025.</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13, 2025</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2019</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80"/>
                  <w:sz w:val="20"/>
                  <w:u w:val="single"/>
                </w:rPr>
                <w:t>Designations, Powers, Preferences and Relative and Other Special Rights and the Qualifications, Limitations and Restrictions of Such Shares of the Series B Preferred Stock of Registrant, filed with the Secretary of State of the State of Delaware on June 11, 2025 (included within Exhibit 3.1)</w:t>
              </w:r>
            </w:hyperlink>
            <w:hyperlink r:id="rId5">
              <w:r>
                <w:rPr>
                  <w:rStyle w:val="InternetLink"/>
                  <w:rFonts w:ascii="Times New Roman" w:hAnsi="Times New Roman"/>
                  <w:color w:val="000080"/>
                  <w:sz w:val="20"/>
                  <w:u w:val="single"/>
                </w:rPr>
                <w: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13, 2025</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Capital Stock.</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13, 2020</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Senior Convertible Promissory Note (included within Exhibit 10.18).</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Senior Convertible Promissory Note, dated August 7, 2024, by and between the Registrant and Lind Global Asset Management IX LLC.</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12, 2024</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80"/>
                  <w:sz w:val="20"/>
                  <w:u w:val="single"/>
                </w:rPr>
                <w:t>Investor Rights Agreement, dated March 19, 2025, by and between the Registrant and Novel Inspiration International Co., Ltd</w:t>
              </w:r>
            </w:hyperlink>
            <w:r>
              <w:rPr>
                <w:rFonts w:ascii="Times New Roman" w:hAnsi="Times New Roman"/>
                <w:color w:val="0000FF"/>
                <w:sz w:val="20"/>
                <w:u w:val="single"/>
              </w:rPr>
              <w:t>.</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Amendment No. 1 to Investor Rights Agreement, by and between the Registrant and Novel Inspiration International Co., Ltd., executed on May 20, 2025.</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8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000-27598</w:t>
            </w:r>
          </w:p>
          <w:p>
            <w:pPr>
              <w:pStyle w:val="TableContents"/>
              <w:bidi w:val="0"/>
              <w:spacing w:before="0" w:after="283"/>
              <w:jc w:val="left"/>
              <w:rPr/>
            </w:pPr>
            <w:r>
              <w:rPr/>
              <w:t> </w:t>
            </w:r>
          </w:p>
        </w:tc>
        <w:tc>
          <w:tcPr>
            <w:tcW w:w="49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4.1</w:t>
            </w:r>
          </w:p>
          <w:p>
            <w:pPr>
              <w:pStyle w:val="TableContents"/>
              <w:bidi w:val="0"/>
              <w:spacing w:before="0" w:after="283"/>
              <w:jc w:val="left"/>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22, 2025</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with directors and officers.</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2022</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Lease Agreement dated December 6, 1996 by and between Zappettini Investment Co. and the Registrant, as amended pursuant to Amendment</w:t>
              </w:r>
            </w:hyperlink>
            <w:hyperlink r:id="rId13">
              <w:r>
                <w:rPr>
                  <w:rStyle w:val="InternetLink"/>
                  <w:rFonts w:ascii="Times New Roman" w:hAnsi="Times New Roman"/>
                  <w:color w:val="0000FF"/>
                  <w:sz w:val="20"/>
                </w:rPr>
                <w:t xml:space="preserve"> </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6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4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2009</w:t>
            </w:r>
          </w:p>
        </w:tc>
        <w:tc>
          <w:tcPr>
            <w:tcW w:w="5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74"/>
        <w:gridCol w:w="146"/>
        <w:gridCol w:w="4063"/>
        <w:gridCol w:w="931"/>
        <w:gridCol w:w="814"/>
        <w:gridCol w:w="739"/>
        <w:gridCol w:w="1117"/>
        <w:gridCol w:w="607"/>
        <w:gridCol w:w="914"/>
      </w:tblGrid>
      <w:tr>
        <w:trPr/>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3"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c>
          <w:tcPr>
            <w:tcW w:w="1117" w:type="dxa"/>
            <w:tcBorders/>
            <w:shd w:fill="FFFFFF" w:val="clear"/>
            <w:vAlign w:val="center"/>
          </w:tcPr>
          <w:p>
            <w:pPr>
              <w:pStyle w:val="TableContents"/>
              <w:bidi w:val="0"/>
              <w:spacing w:before="0" w:after="283"/>
              <w:jc w:val="left"/>
              <w:rPr>
                <w:sz w:val="4"/>
                <w:szCs w:val="4"/>
              </w:rPr>
            </w:pPr>
            <w:r>
              <w:rPr>
                <w:sz w:val="4"/>
                <w:szCs w:val="4"/>
              </w:rPr>
            </w:r>
          </w:p>
        </w:tc>
        <w:tc>
          <w:tcPr>
            <w:tcW w:w="607" w:type="dxa"/>
            <w:tcBorders/>
            <w:shd w:fill="FFFFFF" w:val="clear"/>
            <w:vAlign w:val="center"/>
          </w:tcPr>
          <w:p>
            <w:pPr>
              <w:pStyle w:val="TableContents"/>
              <w:bidi w:val="0"/>
              <w:spacing w:before="0" w:after="283"/>
              <w:jc w:val="left"/>
              <w:rPr>
                <w:sz w:val="4"/>
                <w:szCs w:val="4"/>
              </w:rPr>
            </w:pPr>
            <w:r>
              <w:rPr>
                <w:sz w:val="4"/>
                <w:szCs w:val="4"/>
              </w:rPr>
            </w:r>
          </w:p>
        </w:tc>
        <w:tc>
          <w:tcPr>
            <w:tcW w:w="914" w:type="dxa"/>
            <w:tcBorders/>
            <w:shd w:fill="FFFFFF" w:val="clear"/>
          </w:tcPr>
          <w:p>
            <w:pPr>
              <w:pStyle w:val="TableContents"/>
              <w:bidi w:val="0"/>
              <w:spacing w:before="0" w:after="283"/>
              <w:jc w:val="left"/>
              <w:rPr>
                <w:sz w:val="4"/>
                <w:szCs w:val="4"/>
              </w:rPr>
            </w:pPr>
            <w:r>
              <w:rPr>
                <w:sz w:val="4"/>
                <w:szCs w:val="4"/>
              </w:rPr>
            </w:r>
          </w:p>
        </w:tc>
      </w:tr>
      <w:tr>
        <w:trPr/>
        <w:tc>
          <w:tcPr>
            <w:tcW w:w="87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6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8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1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No. 1 dated September 15, 2003 and Amendment No. 2 dated December 22, 2008.</w:t>
              </w:r>
            </w:hyperlink>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Third Amendment to Lease Agreement dated August 4, 2014 by and between Zappettini Investment Co. and the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 2014</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Fourth Amendment to Lease Agreement dated January 31, 2016 by and between ZIC 1212 Terra Bella LLC and the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2016</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Triple Net Lease dated April 26, 2017 by and between ZIC 1212 Terra Bella LLC and the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2017</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First Amendment to Triple Net Lease by and between ZIC 1212 Terra Bella LLC and the Registrant, executed on April 30, 2021.</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2021</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Second Amendment to Triple Net Lease by and between ZIC 1212 Terra Bella LLC and the Registrant, dated on August 29, 2022.</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 2023</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Third Amendment to Triple Net Lease by and between ZIC 1212 Terra Bella LLC and the Registrant, dated on September 21, 2023.</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 2023</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"https://www.sec.gov/Archives/edgar/data/1006045/000095013404006335/f98194dedef14a.htm" \l "075"</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2005 Employee Stock Purchase Plan.</w:t>
            </w:r>
            <w:r>
              <w:rPr>
                <w:rStyle w:val="InternetLink"/>
                <w:sz w:val="20"/>
                <w:u w:val="single"/>
                <w:rFonts w:ascii="Times New Roman" w:hAnsi="Times New Roman"/>
                <w:color w:val="0000FF"/>
              </w:rPr>
              <w:fldChar w:fldCharType="end"/>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2004</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2008 Equity Incentive Plan, as amended.</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13, 2025</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2008 Equity Incentive Plan Option Agreement.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333-155598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21, 2008</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Stand-Alone Stock Option Agreement.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005-48169</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99.(d)(5)</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30, 2009</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Securities Purchase Agreement, dated August 31, 2007, by and among BlueLine Capital Partners, LP, BlueLine Capital Partners III, LP, BlueLine Capital Partners II, LP and the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7, 2007</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2008 Equity Incentive Plan Restricted Stock Award Agreement.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4, 2011</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2008 Equity Incentive Plan Restricted Stock Unit Award Agreement.</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4, 2011</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Loan and Security Agreement, dated as of November 2, 2016, between IRIDEX Corporation and Silicon Valley Bank.</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 2016</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First Amendment to Loan and Security Agreement between IRIDEX Corporation and Silicon Valley Bank, executed on December 3, 2019.</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10.19.1</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13, 2020</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Second Amendment to Loan and Security Agreement between IRIDEX Corporation and Silicon Valley Bank, executed on January 8, 2020.</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10.19.2</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13, 2020</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3"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Third Amendment to Loan and Security Agreement between IRIDEX Corporation and</w:t>
              </w:r>
            </w:hyperlink>
            <w:hyperlink r:id="rId31">
              <w:r>
                <w:rPr>
                  <w:rStyle w:val="InternetLink"/>
                  <w:rFonts w:ascii="Times New Roman" w:hAnsi="Times New Roman"/>
                  <w:color w:val="0000FF"/>
                  <w:sz w:val="20"/>
                </w:rPr>
                <w:t xml:space="preserve"> </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10.19.3</w:t>
            </w:r>
          </w:p>
        </w:tc>
        <w:tc>
          <w:tcPr>
            <w:tcW w:w="1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23, 2021</w:t>
            </w:r>
          </w:p>
        </w:tc>
        <w:tc>
          <w:tcPr>
            <w:tcW w:w="6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81"/>
        <w:gridCol w:w="146"/>
        <w:gridCol w:w="4243"/>
        <w:gridCol w:w="931"/>
        <w:gridCol w:w="737"/>
        <w:gridCol w:w="525"/>
        <w:gridCol w:w="1162"/>
        <w:gridCol w:w="636"/>
        <w:gridCol w:w="944"/>
      </w:tblGrid>
      <w:tr>
        <w:trPr/>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43"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737" w:type="dxa"/>
            <w:tcBorders/>
            <w:shd w:fill="FFFFFF" w:val="clear"/>
            <w:vAlign w:val="center"/>
          </w:tcPr>
          <w:p>
            <w:pPr>
              <w:pStyle w:val="TableContents"/>
              <w:bidi w:val="0"/>
              <w:spacing w:before="0" w:after="283"/>
              <w:jc w:val="left"/>
              <w:rPr>
                <w:sz w:val="4"/>
                <w:szCs w:val="4"/>
              </w:rPr>
            </w:pPr>
            <w:r>
              <w:rPr>
                <w:sz w:val="4"/>
                <w:szCs w:val="4"/>
              </w:rPr>
            </w:r>
          </w:p>
        </w:tc>
        <w:tc>
          <w:tcPr>
            <w:tcW w:w="525" w:type="dxa"/>
            <w:tcBorders/>
            <w:shd w:fill="FFFFFF" w:val="clear"/>
            <w:vAlign w:val="center"/>
          </w:tcPr>
          <w:p>
            <w:pPr>
              <w:pStyle w:val="TableContents"/>
              <w:bidi w:val="0"/>
              <w:spacing w:before="0" w:after="283"/>
              <w:jc w:val="left"/>
              <w:rPr>
                <w:sz w:val="4"/>
                <w:szCs w:val="4"/>
              </w:rPr>
            </w:pPr>
            <w:r>
              <w:rPr>
                <w:sz w:val="4"/>
                <w:szCs w:val="4"/>
              </w:rPr>
            </w:r>
          </w:p>
        </w:tc>
        <w:tc>
          <w:tcPr>
            <w:tcW w:w="1162"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tcPr>
          <w:p>
            <w:pPr>
              <w:pStyle w:val="TableContents"/>
              <w:bidi w:val="0"/>
              <w:spacing w:before="0" w:after="283"/>
              <w:jc w:val="left"/>
              <w:rPr>
                <w:sz w:val="4"/>
                <w:szCs w:val="4"/>
              </w:rPr>
            </w:pPr>
            <w:r>
              <w:rPr>
                <w:sz w:val="4"/>
                <w:szCs w:val="4"/>
              </w:rPr>
            </w:r>
          </w:p>
        </w:tc>
      </w:tr>
      <w:tr>
        <w:trPr/>
        <w:tc>
          <w:tcPr>
            <w:tcW w:w="88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3355"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5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1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Silicon Valley Bank, executed on December 31, 2020.</w:t>
              </w:r>
            </w:hyperlink>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Fourth Amendment to Loan and Security Agreement between IRIDEX Corporation and Silicon Valley Bank, executed on March 24, 2022.</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2022</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Fifth Amendment to Loan and Security Agreement between IRIDEX Corporation and Silicon Valley Bank, executed on June 15, 2022.</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2022</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Amended and Restated Change in Control Severance Agreement dated as of November 7, 2024, between the Company and Mr. Mercer.</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2024</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Asset Purchase Agreement dated as of March 2, 2021, among the Company, Topcon Medical Laser Systems, Inc. and Topcon America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Distribution Agreement dated as of March 2, 2021, by and between the Company and Topcon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Investment Agreement dated as of March 2, 2021, by and between the Company and Topcon America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Registration Rights Agreement dated as of March 2, 2021, by and between the Company and Topcon America Corporation.</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2021</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80"/>
                  <w:sz w:val="20"/>
                  <w:u w:val="single"/>
                </w:rPr>
                <w:t>Securities Purchase Agreement dated as of August 4, 2024 by and between the Company and Lind Global Asset Management IX LLC</w:t>
              </w:r>
            </w:hyperlink>
            <w:r>
              <w:rPr>
                <w:rFonts w:ascii="Times New Roman" w:hAnsi="Times New Roman"/>
                <w:color w:val="0000FF"/>
                <w:sz w:val="20"/>
                <w:u w:val="single"/>
              </w:rPr>
              <w:t>.</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Securities Purchase Agreement, dated March 19, 2025 by and between the Registrant and Novel Inspiration International Co., Ltd.</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Note Purchase Agreement, dated March 19, 2025, by and between the Registrant and Novel Inspiration International Co., Ltd.</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Convertible Promissory Note, dated March 19, 2025, by and between the registrant and Novel Inspiration International Co., Ltd.</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1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2025</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Convertible Promissory Note, dated March 19, 2025, by and between the registrant and Novel Inspiration International Co., Ltd.</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1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 2025</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10.22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Offer Letter between the Registrant and Mr. Dizon.</w:t>
              </w:r>
            </w:hyperlink>
          </w:p>
        </w:tc>
        <w:tc>
          <w:tcPr>
            <w:tcW w:w="9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000-27598</w:t>
            </w:r>
          </w:p>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10.5</w:t>
            </w:r>
          </w:p>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10.23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Change in Control Severance Agreement between the Registrant and Mr. Dizon.</w:t>
              </w:r>
            </w:hyperlink>
          </w:p>
        </w:tc>
        <w:tc>
          <w:tcPr>
            <w:tcW w:w="9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000-27598</w:t>
            </w:r>
          </w:p>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10.6</w:t>
            </w:r>
          </w:p>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Insider Trading Policy</w:t>
              </w:r>
            </w:hyperlink>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000-27598</w:t>
            </w:r>
          </w:p>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19.1</w:t>
            </w:r>
          </w:p>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March 27, 2025</w:t>
            </w:r>
          </w:p>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tcBorders/>
            <w:tcMar>
              <w:top w:w="0" w:type="dxa"/>
              <w:left w:w="0" w:type="dxa"/>
              <w:bottom w:w="0" w:type="dxa"/>
              <w:right w:w="0" w:type="dxa"/>
            </w:tcMar>
            <w:vAlign w:val="center"/>
          </w:tcPr>
          <w:p>
            <w:pPr>
              <w:pStyle w:val="TableContents"/>
              <w:bidi w:val="0"/>
              <w:spacing w:before="0" w:after="283"/>
              <w:jc w:val="left"/>
              <w:rPr/>
            </w:pPr>
            <w:hyperlink w:anchor="irix-ex21_1.htm">
              <w:r>
                <w:rPr>
                  <w:rStyle w:val="InternetLink"/>
                  <w:rFonts w:ascii="Times New Roman" w:hAnsi="Times New Roman"/>
                  <w:color w:val="0000FF"/>
                  <w:sz w:val="20"/>
                  <w:u w:val="single"/>
                </w:rPr>
                <w:t>Subsidiaries of Registrant</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tcMar>
              <w:top w:w="0" w:type="dxa"/>
              <w:left w:w="0" w:type="dxa"/>
              <w:bottom w:w="0" w:type="dxa"/>
              <w:right w:w="0" w:type="dxa"/>
            </w:tcMar>
            <w:vAlign w:val="center"/>
          </w:tcPr>
          <w:p>
            <w:pPr>
              <w:pStyle w:val="TableContents"/>
              <w:bidi w:val="0"/>
              <w:spacing w:before="0" w:after="283"/>
              <w:jc w:val="left"/>
              <w:rPr/>
            </w:pPr>
            <w:hyperlink w:anchor="irix-ex23_1.htm">
              <w:r>
                <w:rPr>
                  <w:rStyle w:val="InternetLink"/>
                  <w:rFonts w:ascii="Times New Roman" w:hAnsi="Times New Roman"/>
                  <w:color w:val="0000FF"/>
                  <w:sz w:val="20"/>
                  <w:u w:val="single"/>
                </w:rPr>
                <w:t>Consent of BPM LLP, Independent Registered Public Accounting Firm.</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c>
          <w:tcPr>
            <w:tcW w:w="944"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27"/>
        <w:gridCol w:w="146"/>
        <w:gridCol w:w="4737"/>
        <w:gridCol w:w="931"/>
        <w:gridCol w:w="732"/>
        <w:gridCol w:w="523"/>
        <w:gridCol w:w="838"/>
        <w:gridCol w:w="631"/>
        <w:gridCol w:w="940"/>
      </w:tblGrid>
      <w:tr>
        <w:trPr/>
        <w:tc>
          <w:tcPr>
            <w:tcW w:w="7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37"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732" w:type="dxa"/>
            <w:tcBorders/>
            <w:shd w:fill="FFFFFF" w:val="clear"/>
            <w:vAlign w:val="center"/>
          </w:tcPr>
          <w:p>
            <w:pPr>
              <w:pStyle w:val="TableContents"/>
              <w:bidi w:val="0"/>
              <w:spacing w:before="0" w:after="283"/>
              <w:jc w:val="left"/>
              <w:rPr>
                <w:sz w:val="4"/>
                <w:szCs w:val="4"/>
              </w:rPr>
            </w:pPr>
            <w:r>
              <w:rPr>
                <w:sz w:val="4"/>
                <w:szCs w:val="4"/>
              </w:rPr>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838"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940" w:type="dxa"/>
            <w:tcBorders/>
            <w:shd w:fill="FFFFFF" w:val="clear"/>
          </w:tcPr>
          <w:p>
            <w:pPr>
              <w:pStyle w:val="TableContents"/>
              <w:bidi w:val="0"/>
              <w:spacing w:before="0" w:after="283"/>
              <w:jc w:val="left"/>
              <w:rPr>
                <w:sz w:val="4"/>
                <w:szCs w:val="4"/>
              </w:rPr>
            </w:pPr>
            <w:r>
              <w:rPr>
                <w:sz w:val="4"/>
                <w:szCs w:val="4"/>
              </w:rPr>
            </w:r>
          </w:p>
        </w:tc>
      </w:tr>
      <w:tr>
        <w:trPr/>
        <w:tc>
          <w:tcPr>
            <w:tcW w:w="727"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5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8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X</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Section 302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Section 302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Compensation Recovery Policy of Registrant as adopted on November 20, 2023.</w:t>
              </w:r>
            </w:hyperlink>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000-27598</w:t>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8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29, 2024</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tcPr>
          <w:p>
            <w:pPr>
              <w:pStyle w:val="TableContents"/>
              <w:bidi w:val="0"/>
              <w:spacing w:before="0" w:after="283"/>
              <w:jc w:val="left"/>
              <w:rPr>
                <w:sz w:val="4"/>
                <w:szCs w:val="4"/>
              </w:rPr>
            </w:pPr>
            <w:r>
              <w:rPr>
                <w:sz w:val="4"/>
                <w:szCs w:val="4"/>
              </w:rPr>
            </w:r>
          </w:p>
        </w:tc>
      </w:tr>
    </w:tbl>
    <w:p>
      <w:pPr>
        <w:pStyle w:val="TextBody"/>
        <w:pBdr/>
        <w:bidi w:val="0"/>
        <w:ind w:left="0" w:right="0" w:hanging="490"/>
        <w:jc w:val="left"/>
        <w:rPr/>
      </w:pPr>
      <w:r>
        <w:rPr/>
        <w:t> </w:t>
      </w:r>
    </w:p>
    <w:p>
      <w:pPr>
        <w:pStyle w:val="TextBody"/>
        <w:pBdr/>
        <w:bidi w:val="0"/>
        <w:ind w:left="0" w:right="0" w:hanging="490"/>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pBdr/>
        <w:bidi w:val="0"/>
        <w:ind w:left="0" w:right="0" w:hanging="490"/>
        <w:jc w:val="left"/>
        <w:rPr>
          <w:rFonts w:ascii="Times New Roman" w:hAnsi="Times New Roman"/>
          <w:color w:val="000000"/>
          <w:sz w:val="20"/>
        </w:rPr>
      </w:pPr>
      <w:r>
        <w:rPr>
          <w:rFonts w:ascii="Times New Roman" w:hAnsi="Times New Roman"/>
          <w:color w:val="000000"/>
          <w:sz w:val="20"/>
        </w:rPr>
        <w:t xml:space="preserve">** The certifications furnished in Exhibit 32.1 and 32.2 hereto is deemed to accompany this Annual Report on Form 10-K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Trademark Acknowledgments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IQ532, Cyclo G6, and TxCell are our registered trademarks. All other trademarks or trade names appearing in this Annual Report on Form 10-K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35" w:name="signatures"/>
      <w:bookmarkEnd w:id="3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in the City of Mountain View, State of California, on the 2nd day of April 2026.</w:t>
      </w:r>
    </w:p>
    <w:p>
      <w:pPr>
        <w:pStyle w:val="TextBody"/>
        <w:bidi w:val="0"/>
        <w:jc w:val="left"/>
        <w:rPr/>
      </w:pPr>
      <w:r>
        <w:rPr/>
        <w:t> </w:t>
      </w:r>
    </w:p>
    <w:tbl>
      <w:tblPr>
        <w:tblW w:w="3158" w:type="dxa"/>
        <w:jc w:val="left"/>
        <w:tblInd w:w="0" w:type="dxa"/>
        <w:tblLayout w:type="fixed"/>
        <w:tblCellMar>
          <w:top w:w="28" w:type="dxa"/>
          <w:left w:w="28" w:type="dxa"/>
          <w:bottom w:w="28" w:type="dxa"/>
          <w:right w:w="28" w:type="dxa"/>
        </w:tblCellMar>
      </w:tblPr>
      <w:tblGrid>
        <w:gridCol w:w="431"/>
        <w:gridCol w:w="416"/>
        <w:gridCol w:w="2011"/>
        <w:gridCol w:w="109"/>
        <w:gridCol w:w="191"/>
      </w:tblGrid>
      <w:tr>
        <w:trPr/>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IRIDEX CORPORATION</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3173" w:type="dxa"/>
        <w:jc w:val="left"/>
        <w:tblInd w:w="0" w:type="dxa"/>
        <w:tblLayout w:type="fixed"/>
        <w:tblCellMar>
          <w:top w:w="28" w:type="dxa"/>
          <w:left w:w="28" w:type="dxa"/>
          <w:bottom w:w="28" w:type="dxa"/>
          <w:right w:w="28" w:type="dxa"/>
        </w:tblCellMar>
      </w:tblPr>
      <w:tblGrid>
        <w:gridCol w:w="431"/>
        <w:gridCol w:w="416"/>
        <w:gridCol w:w="2026"/>
        <w:gridCol w:w="109"/>
        <w:gridCol w:w="191"/>
      </w:tblGrid>
      <w:tr>
        <w:trPr/>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Patrick Mercer and Romeo R. Dizon,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1934, this report has been signed by the following persons in the capacities and on the dates indicated. </w:t>
      </w:r>
    </w:p>
    <w:tbl>
      <w:tblPr>
        <w:tblW w:w="6055" w:type="dxa"/>
        <w:jc w:val="left"/>
        <w:tblInd w:w="0" w:type="dxa"/>
        <w:tblLayout w:type="fixed"/>
        <w:tblCellMar>
          <w:top w:w="28" w:type="dxa"/>
          <w:left w:w="28" w:type="dxa"/>
          <w:bottom w:w="28" w:type="dxa"/>
          <w:right w:w="28" w:type="dxa"/>
        </w:tblCellMar>
      </w:tblPr>
      <w:tblGrid>
        <w:gridCol w:w="1711"/>
        <w:gridCol w:w="146"/>
        <w:gridCol w:w="2821"/>
        <w:gridCol w:w="146"/>
        <w:gridCol w:w="1231"/>
      </w:tblGrid>
      <w:tr>
        <w:trPr/>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 Patrick Mercer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April 2,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Romeo R. Dizon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April 2,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 Scott Shuda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Chairperson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April 2,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Shuda)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Beverly A. Huss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April 2,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(Beverly A. Huss)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William Moore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April 2,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Moore)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Nick Chen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April 2,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Chen)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right"/>
        <w:rPr/>
      </w:pPr>
      <w:bookmarkStart w:id="36" w:name="irix-ex21_1.htm"/>
      <w:bookmarkStart w:id="37" w:name="ksirixex21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jc w:val="center"/>
        <w:rPr>
          <w:rFonts w:ascii="Times New Roman" w:hAnsi="Times New Roman"/>
          <w:b/>
          <w:color w:val="000000"/>
          <w:sz w:val="26"/>
        </w:rPr>
      </w:pPr>
      <w:r>
        <w:rPr>
          <w:rFonts w:ascii="Times New Roman" w:hAnsi="Times New Roman"/>
          <w:b/>
          <w:color w:val="000000"/>
          <w:sz w:val="26"/>
        </w:rPr>
        <w:t>Subsidiaries of IRIDEX Corporation</w:t>
      </w:r>
    </w:p>
    <w:p>
      <w:pPr>
        <w:pStyle w:val="TextBody"/>
        <w:bidi w:val="0"/>
        <w:jc w:val="center"/>
        <w:rPr>
          <w:rFonts w:ascii="Times New Roman" w:hAnsi="Times New Roman"/>
          <w:color w:val="000000"/>
          <w:sz w:val="20"/>
        </w:rPr>
      </w:pPr>
      <w:r>
        <w:rPr>
          <w:rFonts w:ascii="Times New Roman" w:hAnsi="Times New Roman"/>
          <w:color w:val="000000"/>
          <w:sz w:val="20"/>
        </w:rPr>
        <w:t>(as of January 3, 2026)</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u w:val="single"/>
        </w:rPr>
        <w:t>NAME OF SUBSIDIARY</w:t>
      </w:r>
      <w:r>
        <w:rPr>
          <w:rFonts w:ascii="Times New Roman" w:hAnsi="Times New Roman"/>
          <w:color w:val="000000"/>
          <w:sz w:val="20"/>
        </w:rPr>
        <w:t xml:space="preserve"> </w:t>
      </w:r>
      <w:r>
        <w:rPr>
          <w:rFonts w:ascii="Times New Roman" w:hAnsi="Times New Roman"/>
          <w:b/>
          <w:color w:val="000000"/>
          <w:sz w:val="20"/>
          <w:u w:val="single"/>
        </w:rPr>
        <w:t>COUNTRY OF 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IRIDEX Europe GmbH Germany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Iridex Philippines BPO, Inc. The Republic of the Philippines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irix-ex23_1.htm"/>
      <w:bookmarkStart w:id="39" w:name="ksirixex23_1"/>
      <w:bookmarkEnd w:id="38"/>
      <w:bookmarkEnd w:id="39"/>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(333-281947, 333-257807, 333-213094) and Form S-8 (333-288050, 333-272983, 333-257808, 333-233628, 333-226358, 333-219448, 333-197934, 333-183513, 333-161630, 333-155598, 333-147866, 333-135822, 333-127716, 333-117885, 333-107700, 333-97541, 333-67480, 333-45736, 333-86091, 333-57573, 333-32161) of our report dated April 2, 2026 relating to the consolidated financial statements of IRIDEX Corporation, which appears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BPM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April 2,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irix-ex31_1.htm"/>
      <w:bookmarkStart w:id="41" w:name="ksirixex31_1"/>
      <w:bookmarkEnd w:id="40"/>
      <w:bookmarkEnd w:id="4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13(a) or 15 (d)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Patrick Mercer, certify that: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IRIDEX Corporation for the fiscal year ended January 3, 2026;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 2026</w:t>
      </w:r>
    </w:p>
    <w:p>
      <w:pPr>
        <w:pStyle w:val="TextBody"/>
        <w:bidi w:val="0"/>
        <w:jc w:val="left"/>
        <w:rPr/>
      </w:pPr>
      <w:r>
        <w:rPr/>
        <w:t> </w:t>
      </w:r>
    </w:p>
    <w:tbl>
      <w:tblPr>
        <w:tblW w:w="2726" w:type="dxa"/>
        <w:jc w:val="left"/>
        <w:tblInd w:w="0" w:type="dxa"/>
        <w:tblLayout w:type="fixed"/>
        <w:tblCellMar>
          <w:top w:w="28" w:type="dxa"/>
          <w:left w:w="28" w:type="dxa"/>
          <w:bottom w:w="28" w:type="dxa"/>
          <w:right w:w="28" w:type="dxa"/>
        </w:tblCellMar>
      </w:tblPr>
      <w:tblGrid>
        <w:gridCol w:w="161"/>
        <w:gridCol w:w="570"/>
        <w:gridCol w:w="1995"/>
      </w:tblGrid>
      <w:tr>
        <w:trPr/>
        <w:tc>
          <w:tcPr>
            <w:tcW w:w="16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irix-ex31_2.htm"/>
      <w:bookmarkStart w:id="43" w:name="ksirixex31_2"/>
      <w:bookmarkEnd w:id="42"/>
      <w:bookmarkEnd w:id="4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13(a) or 15 (d)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Romeo R. Dizon, certify that: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IRIDEX Corporation for the fiscal year ended January 3, 2026;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 2026</w:t>
      </w:r>
    </w:p>
    <w:p>
      <w:pPr>
        <w:pStyle w:val="TextBody"/>
        <w:bidi w:val="0"/>
        <w:jc w:val="left"/>
        <w:rPr/>
      </w:pPr>
      <w:r>
        <w:rPr/>
        <w:t> </w:t>
      </w:r>
    </w:p>
    <w:tbl>
      <w:tblPr>
        <w:tblW w:w="2666" w:type="dxa"/>
        <w:jc w:val="left"/>
        <w:tblInd w:w="0" w:type="dxa"/>
        <w:tblLayout w:type="fixed"/>
        <w:tblCellMar>
          <w:top w:w="28" w:type="dxa"/>
          <w:left w:w="28" w:type="dxa"/>
          <w:bottom w:w="28" w:type="dxa"/>
          <w:right w:w="28" w:type="dxa"/>
        </w:tblCellMar>
      </w:tblPr>
      <w:tblGrid>
        <w:gridCol w:w="161"/>
        <w:gridCol w:w="515"/>
        <w:gridCol w:w="1990"/>
      </w:tblGrid>
      <w:tr>
        <w:trPr/>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9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irix-ex32_1.htm"/>
      <w:bookmarkStart w:id="45" w:name="ksirixex32_1"/>
      <w:bookmarkEnd w:id="44"/>
      <w:bookmarkEnd w:id="4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 Patrick Mercer, pursuant to 18 U.S.C. Section 1350, as adopted pursuant to Section 906 of the Sarbanes-Oxley Act of 2002, certify that the Annual Report of IRIDEX Corporation on Form 10-K for the fiscal year ended January 3, 2026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 2026</w:t>
      </w:r>
    </w:p>
    <w:p>
      <w:pPr>
        <w:pStyle w:val="TextBody"/>
        <w:bidi w:val="0"/>
        <w:jc w:val="left"/>
        <w:rPr/>
      </w:pPr>
      <w:r>
        <w:rPr/>
        <w:t> </w:t>
      </w:r>
    </w:p>
    <w:tbl>
      <w:tblPr>
        <w:tblW w:w="2726" w:type="dxa"/>
        <w:jc w:val="left"/>
        <w:tblInd w:w="0" w:type="dxa"/>
        <w:tblLayout w:type="fixed"/>
        <w:tblCellMar>
          <w:top w:w="28" w:type="dxa"/>
          <w:left w:w="28" w:type="dxa"/>
          <w:bottom w:w="28" w:type="dxa"/>
          <w:right w:w="28" w:type="dxa"/>
        </w:tblCellMar>
      </w:tblPr>
      <w:tblGrid>
        <w:gridCol w:w="161"/>
        <w:gridCol w:w="532"/>
        <w:gridCol w:w="172"/>
        <w:gridCol w:w="1861"/>
      </w:tblGrid>
      <w:tr>
        <w:trPr/>
        <w:tc>
          <w:tcPr>
            <w:tcW w:w="16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irix-ex32_2.htm"/>
      <w:bookmarkStart w:id="47" w:name="ksirixex32_2"/>
      <w:bookmarkEnd w:id="46"/>
      <w:bookmarkEnd w:id="4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 Romeo R. Dizon, pursuant to 18 U.S.C. Section 1350, as adopted pursuant to Section 906 of the Sarbanes-Oxley Act of 2002, certify that the Annual Report of IRIDEX Corporation on Form 10-K for the fiscal year ended January 3, 2026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 2026</w:t>
      </w:r>
    </w:p>
    <w:p>
      <w:pPr>
        <w:pStyle w:val="TextBody"/>
        <w:bidi w:val="0"/>
        <w:jc w:val="left"/>
        <w:rPr/>
      </w:pPr>
      <w:r>
        <w:rPr/>
        <w:t> </w:t>
      </w:r>
    </w:p>
    <w:tbl>
      <w:tblPr>
        <w:tblW w:w="2666" w:type="dxa"/>
        <w:jc w:val="left"/>
        <w:tblInd w:w="0" w:type="dxa"/>
        <w:tblLayout w:type="fixed"/>
        <w:tblCellMar>
          <w:top w:w="28" w:type="dxa"/>
          <w:left w:w="28" w:type="dxa"/>
          <w:bottom w:w="28" w:type="dxa"/>
          <w:right w:w="28" w:type="dxa"/>
        </w:tblCellMar>
      </w:tblPr>
      <w:tblGrid>
        <w:gridCol w:w="161"/>
        <w:gridCol w:w="483"/>
        <w:gridCol w:w="156"/>
        <w:gridCol w:w="1866"/>
      </w:tblGrid>
      <w:tr>
        <w:trPr/>
        <w:tc>
          <w:tcPr>
            <w:tcW w:w="1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045/000095017025086292/irix-ex3_1.htm" TargetMode="External"/><Relationship Id="rId3" Type="http://schemas.openxmlformats.org/officeDocument/2006/relationships/hyperlink" Target="https://www.sec.gov/Archives/edgar/data/1006045/000156459019010390/irix-ex31_7.htm" TargetMode="External"/><Relationship Id="rId4" Type="http://schemas.openxmlformats.org/officeDocument/2006/relationships/hyperlink" Target="https://www.sec.gov/Archives/edgar/data/1006045/000095017025086292/irix-ex3_1.htm" TargetMode="External"/><Relationship Id="rId5" Type="http://schemas.openxmlformats.org/officeDocument/2006/relationships/hyperlink" Target="https://www.sec.gov/Archives/edgar/data/1006045/000095017025042190/irix-ex3_1.htm" TargetMode="External"/><Relationship Id="rId6" Type="http://schemas.openxmlformats.org/officeDocument/2006/relationships/hyperlink" Target="https://www.sec.gov/Archives/edgar/data/1006045/000156459020010869/irix-ex43_14.htm" TargetMode="External"/><Relationship Id="rId7" Type="http://schemas.openxmlformats.org/officeDocument/2006/relationships/hyperlink" Target="https://www.sec.gov/Archives/edgar/data/1006045/000095017024090371/irix-ex10_1.htm" TargetMode="External"/><Relationship Id="rId8" Type="http://schemas.openxmlformats.org/officeDocument/2006/relationships/hyperlink" Target="https://www.sec.gov/Archives/edgar/data/1006045/000095017024125541/irix-ex4_1.htm" TargetMode="External"/><Relationship Id="rId9" Type="http://schemas.openxmlformats.org/officeDocument/2006/relationships/hyperlink" Target="https://www.sec.gov/Archives/edgar/data/1006045/000095017025042190/irix-ex4_1.htm" TargetMode="External"/><Relationship Id="rId10" Type="http://schemas.openxmlformats.org/officeDocument/2006/relationships/hyperlink" Target="https://www.sec.gov/Archives/edgar/data/1006045/000095017025076352/irix-ex4_1.htm" TargetMode="External"/><Relationship Id="rId11" Type="http://schemas.openxmlformats.org/officeDocument/2006/relationships/hyperlink" Target="https://www.sec.gov/Archives/edgar/data/1006045/000156459022010477/irix-ex102_73.htm" TargetMode="External"/><Relationship Id="rId12" Type="http://schemas.openxmlformats.org/officeDocument/2006/relationships/hyperlink" Target="https://www.sec.gov/Archives/edgar/data/1006045/000119312509070788/dex102.htm" TargetMode="External"/><Relationship Id="rId13" Type="http://schemas.openxmlformats.org/officeDocument/2006/relationships/hyperlink" Target="https://www.sec.gov/Archives/edgar/data/1006045/000119312509070788/dex102.htm" TargetMode="External"/><Relationship Id="rId14" Type="http://schemas.openxmlformats.org/officeDocument/2006/relationships/hyperlink" Target="https://www.sec.gov/Archives/edgar/data/1006045/000119312509070788/dex102.htm" TargetMode="External"/><Relationship Id="rId15" Type="http://schemas.openxmlformats.org/officeDocument/2006/relationships/hyperlink" Target="https://www.sec.gov/Archives/edgar/data/1006045/000156459014004861/irix-ex101_2014092780.htm" TargetMode="External"/><Relationship Id="rId16" Type="http://schemas.openxmlformats.org/officeDocument/2006/relationships/hyperlink" Target="https://www.sec.gov/Archives/edgar/data/1006045/000156459016015763/irix-ex101_303.htm" TargetMode="External"/><Relationship Id="rId17" Type="http://schemas.openxmlformats.org/officeDocument/2006/relationships/hyperlink" Target="https://www.sec.gov/Archives/edgar/data/1006045/000156459017007969/irix-ex101_6.htm" TargetMode="External"/><Relationship Id="rId18" Type="http://schemas.openxmlformats.org/officeDocument/2006/relationships/hyperlink" Target="https://www.sec.gov/Archives/edgar/data/1006045/000156459021044004/irix-ex101_29.htm" TargetMode="External"/><Relationship Id="rId19" Type="http://schemas.openxmlformats.org/officeDocument/2006/relationships/hyperlink" Target="https://www.sec.gov/Archives/edgar/data/1006045/000095017023065162/irix-ex10_1.htm" TargetMode="External"/><Relationship Id="rId20" Type="http://schemas.openxmlformats.org/officeDocument/2006/relationships/hyperlink" Target="https://www.sec.gov/Archives/edgar/data/1006045/000095017023065162/irix-ex10_2.htm" TargetMode="External"/><Relationship Id="rId21" Type="http://schemas.openxmlformats.org/officeDocument/2006/relationships/hyperlink" Target="https://www.sec.gov/Archives/edgar/data/1006045/000095017025086292/irix-ex10_1.htm" TargetMode="External"/><Relationship Id="rId22" Type="http://schemas.openxmlformats.org/officeDocument/2006/relationships/hyperlink" Target="https://www.sec.gov/Archives/edgar/data/1006045/000119312508241322/dex991.htm" TargetMode="External"/><Relationship Id="rId23" Type="http://schemas.openxmlformats.org/officeDocument/2006/relationships/hyperlink" Target="https://www.sec.gov/Archives/edgar/data/1006045/000119312509159297/dex99d5.htm" TargetMode="External"/><Relationship Id="rId24" Type="http://schemas.openxmlformats.org/officeDocument/2006/relationships/hyperlink" Target="https://www.sec.gov/Archives/edgar/data/1006045/000089161807000540/f33502exv10w1.htm" TargetMode="External"/><Relationship Id="rId25" Type="http://schemas.openxmlformats.org/officeDocument/2006/relationships/hyperlink" Target="https://www.sec.gov/Archives/edgar/data/1006045/000119312511210538/dex101.htm" TargetMode="External"/><Relationship Id="rId26" Type="http://schemas.openxmlformats.org/officeDocument/2006/relationships/hyperlink" Target="https://www.sec.gov/Archives/edgar/data/1006045/000119312511210538/dex102.htm" TargetMode="External"/><Relationship Id="rId27" Type="http://schemas.openxmlformats.org/officeDocument/2006/relationships/hyperlink" Target="https://www.sec.gov/Archives/edgar/data/1006045/000156459016027421/irix-ex101_40.htm" TargetMode="External"/><Relationship Id="rId28" Type="http://schemas.openxmlformats.org/officeDocument/2006/relationships/hyperlink" Target="https://www.sec.gov/Archives/edgar/data/1006045/000156459020010869/irix-ex10191_57.htm" TargetMode="External"/><Relationship Id="rId29" Type="http://schemas.openxmlformats.org/officeDocument/2006/relationships/hyperlink" Target="https://www.sec.gov/Archives/edgar/data/1006045/000156459020010869/irix-ex10192_58.htm" TargetMode="External"/><Relationship Id="rId30" Type="http://schemas.openxmlformats.org/officeDocument/2006/relationships/hyperlink" Target="https://www.sec.gov/Archives/edgar/data/1006045/000156459021014859/irix-ex10193_10.htm" TargetMode="External"/><Relationship Id="rId31" Type="http://schemas.openxmlformats.org/officeDocument/2006/relationships/hyperlink" Target="https://www.sec.gov/Archives/edgar/data/1006045/000156459021014859/irix-ex10193_10.htm" TargetMode="External"/><Relationship Id="rId32" Type="http://schemas.openxmlformats.org/officeDocument/2006/relationships/hyperlink" Target="https://www.sec.gov/Archives/edgar/data/1006045/000156459021014859/irix-ex10193_10.htm" TargetMode="External"/><Relationship Id="rId33" Type="http://schemas.openxmlformats.org/officeDocument/2006/relationships/hyperlink" Target="https://www.sec.gov/Archives/edgar/data/1006045/000095017022017441/irix-ex10_1.htm" TargetMode="External"/><Relationship Id="rId34" Type="http://schemas.openxmlformats.org/officeDocument/2006/relationships/hyperlink" Target="https://www.sec.gov/Archives/edgar/data/1006045/000095017022017441/irix-ex10_2.htm" TargetMode="External"/><Relationship Id="rId35" Type="http://schemas.openxmlformats.org/officeDocument/2006/relationships/hyperlink" Target="https://www.sec.gov/Archives/edgar/data/1006045/000095017024126507/irix-ex10_2.htm" TargetMode="External"/><Relationship Id="rId36" Type="http://schemas.openxmlformats.org/officeDocument/2006/relationships/hyperlink" Target="https://www.sec.gov/Archives/edgar/data/1006045/000156459021010940/irix-ex101_11.htm" TargetMode="External"/><Relationship Id="rId37" Type="http://schemas.openxmlformats.org/officeDocument/2006/relationships/hyperlink" Target="https://www.sec.gov/Archives/edgar/data/1006045/000156459021010940/irix-ex102_7.htm" TargetMode="External"/><Relationship Id="rId38" Type="http://schemas.openxmlformats.org/officeDocument/2006/relationships/hyperlink" Target="https://www.sec.gov/Archives/edgar/data/1006045/000156459021010940/irix-ex103_6.htm" TargetMode="External"/><Relationship Id="rId39" Type="http://schemas.openxmlformats.org/officeDocument/2006/relationships/hyperlink" Target="https://www.sec.gov/Archives/edgar/data/1006045/000156459021010940/irix-ex104_8.htm" TargetMode="External"/><Relationship Id="rId40" Type="http://schemas.openxmlformats.org/officeDocument/2006/relationships/hyperlink" Target="https://www.sec.gov/Archives/edgar/data/1006045/000095017024090371/irix-ex10_1.htm" TargetMode="External"/><Relationship Id="rId41" Type="http://schemas.openxmlformats.org/officeDocument/2006/relationships/hyperlink" Target="https://www.sec.gov/Archives/edgar/data/1006045/000095017025042190/irix-ex10_1.htm" TargetMode="External"/><Relationship Id="rId42" Type="http://schemas.openxmlformats.org/officeDocument/2006/relationships/hyperlink" Target="https://www.sec.gov/Archives/edgar/data/1006045/000095017025042190/irix-ex10_2.htm" TargetMode="External"/><Relationship Id="rId43" Type="http://schemas.openxmlformats.org/officeDocument/2006/relationships/hyperlink" Target="https://www.sec.gov/Archives/edgar/data/1006045/000095017025042190/irix-ex10_3.htm" TargetMode="External"/><Relationship Id="rId44" Type="http://schemas.openxmlformats.org/officeDocument/2006/relationships/hyperlink" Target="https://www.sec.gov/Archives/edgar/data/1006045/000095017025042190/irix-ex10_4.htm" TargetMode="External"/><Relationship Id="rId45" Type="http://schemas.openxmlformats.org/officeDocument/2006/relationships/hyperlink" Target="https://www.sec.gov/Archives/edgar/data/1006045/000095017025042190/irix-ex10_5.htm" TargetMode="External"/><Relationship Id="rId46" Type="http://schemas.openxmlformats.org/officeDocument/2006/relationships/hyperlink" Target="https://www.sec.gov/Archives/edgar/data/1006045/000095017025042190/irix-ex10_6.htm" TargetMode="External"/><Relationship Id="rId47" Type="http://schemas.openxmlformats.org/officeDocument/2006/relationships/hyperlink" Target="https://www.sec.gov/Archives/edgar/data/1006045/000095017025046107/irix-ex19_1.htm" TargetMode="External"/><Relationship Id="rId48" Type="http://schemas.openxmlformats.org/officeDocument/2006/relationships/hyperlink" Target="https://www.sec.gov/Archives/edgar/data/1006045/000095017024038650/irix-ex97_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53303</Words>
  <Characters>297282</Characters>
  <CharactersWithSpaces>351114</CharactersWithSpaces>
  <Paragraphs>6779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